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jc w:val="center"/>
        <w:rPr/>
      </w:pPr>
      <w:r>
        <w:rPr>
          <w:b/>
          <w:sz w:val="22"/>
          <w:szCs w:val="22"/>
          <w:lang w:val="sr-RS"/>
        </w:rPr>
        <w:t xml:space="preserve">Техничке карактеристике (спецификација) и предмер и предрачун за набавку радова на летњем </w:t>
      </w:r>
      <w:r>
        <w:rPr>
          <w:rFonts w:cs="Arial"/>
          <w:b/>
          <w:bCs/>
          <w:sz w:val="22"/>
          <w:szCs w:val="22"/>
          <w:lang w:val="sr-RS"/>
        </w:rPr>
        <w:t>одржавању путева и улица на територији града Зајечара</w:t>
      </w:r>
    </w:p>
    <w:p>
      <w:pPr>
        <w:pStyle w:val="Default"/>
        <w:jc w:val="center"/>
        <w:rPr/>
      </w:pPr>
      <w:r>
        <w:rPr>
          <w:b/>
          <w:sz w:val="22"/>
          <w:szCs w:val="22"/>
          <w:lang w:val="sr-RS"/>
        </w:rPr>
        <w:t>ЈН бр. 404-</w:t>
      </w:r>
      <w:r>
        <w:rPr>
          <w:b/>
          <w:sz w:val="22"/>
          <w:szCs w:val="22"/>
          <w:lang w:val="sr-Latn-RS"/>
        </w:rPr>
        <w:t>48</w:t>
      </w:r>
    </w:p>
    <w:p>
      <w:pPr>
        <w:pStyle w:val="Default"/>
        <w:jc w:val="both"/>
        <w:rPr>
          <w:b/>
          <w:b/>
          <w:sz w:val="22"/>
          <w:szCs w:val="22"/>
          <w:lang w:val="sr-RS"/>
        </w:rPr>
      </w:pPr>
      <w:r>
        <w:rPr>
          <w:b/>
          <w:sz w:val="22"/>
          <w:szCs w:val="22"/>
          <w:lang w:val="sr-RS"/>
        </w:rPr>
      </w:r>
    </w:p>
    <w:p>
      <w:pPr>
        <w:pStyle w:val="Normal"/>
        <w:jc w:val="both"/>
        <w:rPr/>
      </w:pPr>
      <w:r>
        <w:rPr>
          <w:rFonts w:cs="Arial"/>
          <w:sz w:val="22"/>
          <w:szCs w:val="22"/>
          <w:lang w:val="sr-RS"/>
        </w:rPr>
        <w:t xml:space="preserve">Предмет радова је </w:t>
      </w:r>
      <w:r>
        <w:rPr>
          <w:rFonts w:cs="Arial"/>
          <w:b w:val="false"/>
          <w:bCs w:val="false"/>
          <w:sz w:val="22"/>
          <w:szCs w:val="22"/>
          <w:lang w:val="sr-RS"/>
        </w:rPr>
        <w:t>летње одржавање путева и улица  на територији града Зајечара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Spacing"/>
        <w:jc w:val="both"/>
        <w:rPr/>
      </w:pPr>
      <w:r>
        <w:rPr>
          <w:rFonts w:cs="Arial" w:ascii="Arial" w:hAnsi="Arial"/>
        </w:rPr>
        <w:t>Сви ставови описа радова подразумевају извођење сваке позиције рада безусловно стручно, прецизно и квалитетно, у свему према техничком опису, важећим техничким прописима, опште техничким условима за извођење грађевинских и грађевинско занатских радова, стандарда и упутства Надзорног органа, уколико у датој позицији није другачије условљено. Сви радови морају бити изведени према важећим нормативима и правилима струке.</w:t>
      </w:r>
    </w:p>
    <w:p>
      <w:pPr>
        <w:pStyle w:val="NoSpacing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rPr/>
      </w:pPr>
      <w:r>
        <w:rPr>
          <w:rFonts w:cs="Arial"/>
          <w:sz w:val="22"/>
          <w:szCs w:val="22"/>
          <w:lang w:val="sr-RS"/>
        </w:rPr>
        <w:t>Рок извршења радова је</w:t>
      </w: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200</w:t>
      </w: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календарских дана од дана увођења Извођача радова у посао.</w:t>
      </w:r>
    </w:p>
    <w:p>
      <w:pPr>
        <w:pStyle w:val="Normal"/>
        <w:jc w:val="both"/>
        <w:rPr/>
      </w:pPr>
      <w:r>
        <w:rPr>
          <w:rFonts w:eastAsia="TimesNewRomanPSMT;Times New Roman" w:cs="Arial"/>
          <w:b w:val="false"/>
          <w:bCs/>
          <w:iCs/>
          <w:sz w:val="22"/>
          <w:szCs w:val="22"/>
          <w:lang w:val="en-US"/>
        </w:rPr>
        <w:t xml:space="preserve">Место </w:t>
      </w:r>
      <w:r>
        <w:rPr>
          <w:rFonts w:eastAsia="TimesNewRomanPSMT;Times New Roman" w:cs="Arial"/>
          <w:b w:val="false"/>
          <w:bCs/>
          <w:iCs/>
          <w:sz w:val="22"/>
          <w:szCs w:val="22"/>
          <w:lang w:val="sr-CS"/>
        </w:rPr>
        <w:t xml:space="preserve">извођења радова: </w:t>
      </w:r>
      <w:r>
        <w:rPr>
          <w:rFonts w:eastAsia="TimesNewRomanPSMT;Times New Roman" w:cs="Arial"/>
          <w:b w:val="false"/>
          <w:bCs/>
          <w:iCs/>
          <w:sz w:val="22"/>
          <w:szCs w:val="22"/>
          <w:lang w:val="ru-RU"/>
        </w:rPr>
        <w:t xml:space="preserve">Цела територија </w:t>
      </w:r>
      <w:r>
        <w:rPr>
          <w:rFonts w:eastAsia="TimesNewRomanPSMT;Times New Roman" w:cs="Arial"/>
          <w:b w:val="false"/>
          <w:bCs/>
          <w:iCs/>
          <w:sz w:val="22"/>
          <w:szCs w:val="22"/>
          <w:lang w:val="sr-RS"/>
        </w:rPr>
        <w:t>г</w:t>
      </w:r>
      <w:r>
        <w:rPr>
          <w:rFonts w:eastAsia="TimesNewRomanPSMT;Times New Roman" w:cs="Arial"/>
          <w:b w:val="false"/>
          <w:bCs/>
          <w:iCs/>
          <w:sz w:val="22"/>
          <w:szCs w:val="22"/>
          <w:lang w:val="ru-RU"/>
        </w:rPr>
        <w:t>рада Зајечара укључујући</w:t>
      </w:r>
      <w:r>
        <w:rPr>
          <w:rFonts w:eastAsia="TimesNewRomanPSMT;Times New Roman" w:cs="Arial"/>
          <w:b w:val="false"/>
          <w:bCs/>
          <w:iCs/>
          <w:sz w:val="22"/>
          <w:szCs w:val="22"/>
          <w:lang w:val="sr-RS"/>
        </w:rPr>
        <w:t xml:space="preserve"> и </w:t>
      </w:r>
      <w:r>
        <w:rPr>
          <w:rFonts w:eastAsia="TimesNewRomanPSMT;Times New Roman" w:cs="Arial"/>
          <w:b w:val="false"/>
          <w:bCs/>
          <w:iCs/>
          <w:sz w:val="22"/>
          <w:szCs w:val="22"/>
          <w:lang w:val="ru-RU"/>
        </w:rPr>
        <w:t>сва села.</w:t>
      </w:r>
    </w:p>
    <w:p>
      <w:pPr>
        <w:pStyle w:val="Normal"/>
        <w:jc w:val="both"/>
        <w:rPr>
          <w:rFonts w:ascii="Arial" w:hAnsi="Arial" w:eastAsia="TimesNewRomanPSMT;Times New Roman" w:cs="Arial"/>
          <w:b w:val="false"/>
          <w:b w:val="false"/>
          <w:bCs/>
          <w:iCs/>
          <w:sz w:val="22"/>
          <w:szCs w:val="22"/>
          <w:lang w:val="ru-RU"/>
        </w:rPr>
      </w:pPr>
      <w:r>
        <w:rPr>
          <w:rFonts w:eastAsia="TimesNewRomanPSMT;Times New Roman" w:cs="Arial"/>
          <w:b w:val="false"/>
          <w:bCs/>
          <w:iCs/>
          <w:sz w:val="22"/>
          <w:szCs w:val="22"/>
          <w:lang w:val="ru-RU"/>
        </w:rPr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rPr/>
      </w:pPr>
      <w:r>
        <w:rPr>
          <w:rFonts w:cs="Arial"/>
          <w:sz w:val="22"/>
          <w:szCs w:val="22"/>
          <w:lang w:val="sr-RS"/>
        </w:rPr>
        <w:t xml:space="preserve">Рок и начин плаћања: </w:t>
      </w:r>
      <w:r>
        <w:rPr>
          <w:rFonts w:cs="Arial"/>
          <w:iCs/>
          <w:sz w:val="22"/>
          <w:szCs w:val="22"/>
          <w:lang w:val="sr-RS"/>
        </w:rPr>
        <w:t xml:space="preserve">Плаћање ће се вршити исплатом кроз </w:t>
      </w:r>
      <w:r>
        <w:rPr>
          <w:rFonts w:cs="Arial"/>
          <w:iCs/>
          <w:sz w:val="22"/>
          <w:szCs w:val="22"/>
          <w:lang w:val="sr-Latn-RS"/>
        </w:rPr>
        <w:t>8</w:t>
      </w:r>
      <w:r>
        <w:rPr>
          <w:rFonts w:cs="Arial"/>
          <w:iCs/>
          <w:sz w:val="22"/>
          <w:szCs w:val="22"/>
          <w:lang w:val="sr-RS"/>
        </w:rPr>
        <w:t xml:space="preserve"> привремених ситуација.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rPr>
          <w:rFonts w:ascii="Arial" w:hAnsi="Arial" w:cs="Arial"/>
          <w:iCs/>
          <w:sz w:val="22"/>
          <w:szCs w:val="22"/>
          <w:lang w:val="sr-RS"/>
        </w:rPr>
      </w:pPr>
      <w:r>
        <w:rPr>
          <w:rFonts w:cs="Arial"/>
          <w:iCs/>
          <w:sz w:val="22"/>
          <w:szCs w:val="22"/>
          <w:lang w:val="sr-RS"/>
        </w:rPr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rPr/>
      </w:pPr>
      <w:r>
        <w:rPr>
          <w:rFonts w:eastAsia="Arial" w:cs="Arial"/>
          <w:b/>
          <w:bCs/>
          <w:iCs/>
          <w:color w:val="auto"/>
          <w:spacing w:val="0"/>
          <w:sz w:val="22"/>
          <w:szCs w:val="22"/>
          <w:shd w:fill="auto" w:val="clear"/>
          <w:lang w:val="sr-RS"/>
        </w:rPr>
        <w:t>НАПОМЕНА</w:t>
      </w:r>
      <w:r>
        <w:rPr>
          <w:rFonts w:eastAsia="Arial" w:cs="Arial"/>
          <w:iCs/>
          <w:color w:val="auto"/>
          <w:spacing w:val="0"/>
          <w:sz w:val="22"/>
          <w:szCs w:val="22"/>
          <w:shd w:fill="auto" w:val="clear"/>
          <w:lang w:val="sr-RS"/>
        </w:rPr>
        <w:t>:Понуђачу није дозвољено да захтева аванс.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both"/>
        <w:rPr/>
      </w:pPr>
      <w:r>
        <w:rPr>
          <w:rFonts w:cs="Arial"/>
          <w:b/>
          <w:bCs/>
          <w:sz w:val="22"/>
          <w:szCs w:val="22"/>
          <w:lang w:val="sr-RS"/>
        </w:rPr>
        <w:t>Предмер и предрачун радова:</w:t>
      </w:r>
    </w:p>
    <w:p>
      <w:pPr>
        <w:pStyle w:val="Normal"/>
        <w:jc w:val="both"/>
        <w:rPr>
          <w:rFonts w:cs="Arial"/>
          <w:lang w:val="sr-RS"/>
        </w:rPr>
      </w:pPr>
      <w:r>
        <w:rPr>
          <w:rFonts w:cs="Arial"/>
          <w:lang w:val="sr-RS"/>
        </w:rPr>
      </w:r>
    </w:p>
    <w:p>
      <w:pPr>
        <w:pStyle w:val="Normal"/>
        <w:jc w:val="both"/>
        <w:rPr>
          <w:b/>
          <w:b/>
          <w:bCs/>
          <w:sz w:val="22"/>
          <w:szCs w:val="22"/>
          <w:lang w:val="sr-RS"/>
        </w:rPr>
      </w:pPr>
      <w:r>
        <w:rPr>
          <w:b/>
          <w:bCs/>
          <w:sz w:val="22"/>
          <w:szCs w:val="22"/>
          <w:lang w:val="sr-RS"/>
        </w:rPr>
      </w:r>
    </w:p>
    <w:tbl>
      <w:tblPr>
        <w:tblW w:w="5000" w:type="pct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3747"/>
        <w:gridCol w:w="1"/>
        <w:gridCol w:w="1387"/>
        <w:gridCol w:w="2"/>
        <w:gridCol w:w="1669"/>
        <w:gridCol w:w="2"/>
        <w:gridCol w:w="2325"/>
      </w:tblGrid>
      <w:tr>
        <w:trPr>
          <w:trHeight w:val="690" w:hRule="atLeas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Јединица</w:t>
              <w:br/>
              <w:t>мере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Јединична цена</w:t>
              <w:br/>
              <w:t>без ПДВ-а</w:t>
            </w:r>
          </w:p>
        </w:tc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Јединична цена</w:t>
              <w:br/>
              <w:t>са ПДВ-ом</w:t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b/>
                <w:bCs/>
                <w:sz w:val="21"/>
                <w:szCs w:val="21"/>
              </w:rPr>
              <w:t>I РАДОВИ НА ОДРЖАВАЊУ ТРУПА ПУТА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75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Кошење траве са банкина самоходном моторном косачицом. Обрачун по м².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6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2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Кошење траве на слободним површинама косачицом прикљученом на трактор. Обрачун по м².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05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3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Кошење траве ручно на површинама око смероказа, колобрана, одбојних ограда и на чистом простору где приступ машине није могућ. Обрачун по м².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6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4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Утовар траве у камион и превоз на депонију на 5км. Обрачун по м².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75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5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Сечење густог шибља преко 50ком/м², ручно са слагањем на страну. Обрачун по м².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75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6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Сечење густог шибља преко 50ком/м², машински са слагањем на страну. Обрачун по м².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75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7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Сечење густог шибља преко 50ком/м², машински са утоваром и превозом на 1км. Обрачун по м².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99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lang w:val="sr-RS"/>
              </w:rPr>
              <w:t>8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Кресање грана дрвећа које сметају саобраћају и другим објектима са слагањем на страну, пречника до 10цм. Обрачун по комаду.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ком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32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lang w:val="sr-RS"/>
              </w:rPr>
              <w:t>9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Ручно чишћење наноса и осулина са коловоза са ручним утоваром и одвозом материјала на депонију. Цена обухвата и транспорт материјала до 10км. Обрачун по м³.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32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lang w:val="sr-RS"/>
              </w:rPr>
              <w:t>10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Ископ земље машински 90% и ручно 10% за проширење коловоза са утоваром и транспортом до 10км. Цена обухвата: ангажовање потребне механизације и радне снаге. Обрачун по м³.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99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  <w:r>
              <w:rPr>
                <w:rFonts w:eastAsia="Times New Roman" w:cs="Arial" w:ascii="Arial Narrow" w:hAnsi="Arial Narrow"/>
                <w:lang w:val="sr-RS"/>
              </w:rPr>
              <w:t>1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Рушење асфалтног застора дебљине 5цм грејдером, са машинским утоваром и транспортом материјала на депонију до 10км. Обрачун по м².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99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  <w:r>
              <w:rPr>
                <w:rFonts w:eastAsia="Times New Roman" w:cs="Arial" w:ascii="Arial Narrow" w:hAnsi="Arial Narrow"/>
                <w:lang w:val="sr-RS"/>
              </w:rPr>
              <w:t>2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Рушење подлоге коловоза дебљине д=25цм грејдером, са машинским утоваром и транспортом материјала на депонију до 10км. Обрачун по м².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60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  <w:r>
              <w:rPr>
                <w:rFonts w:eastAsia="Times New Roman" w:cs="Arial" w:ascii="Arial Narrow" w:hAnsi="Arial Narrow"/>
                <w:lang w:val="sr-RS"/>
              </w:rPr>
              <w:t>3</w:t>
            </w:r>
          </w:p>
        </w:tc>
        <w:tc>
          <w:tcPr>
            <w:tcW w:w="374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Исецање ивица асфалтног коловоза д=6цм машином за сечење асфалта. Обрачун по м¹.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885" w:hRule="atLeast"/>
        </w:trPr>
        <w:tc>
          <w:tcPr>
            <w:tcW w:w="4253" w:type="dxa"/>
            <w:gridSpan w:val="3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lang w:val="sr-RS"/>
              </w:rPr>
              <w:t>укупно</w:t>
            </w:r>
          </w:p>
          <w:p>
            <w:pPr>
              <w:pStyle w:val="NoSpacing"/>
              <w:rPr>
                <w:rFonts w:ascii="Arial" w:hAnsi="Arial" w:cs="Arial"/>
                <w:lang w:val="sr-RS"/>
              </w:rPr>
            </w:pPr>
            <w:r>
              <w:rPr>
                <w:rFonts w:cs="Arial" w:ascii="Arial" w:hAnsi="Arial"/>
                <w:lang w:val="sr-RS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000000"/>
                <w:sz w:val="22"/>
                <w:szCs w:val="22"/>
                <w:lang w:val="en-US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000000"/>
                <w:sz w:val="22"/>
                <w:szCs w:val="22"/>
                <w:lang w:val="en-US"/>
              </w:rPr>
            </w:r>
          </w:p>
          <w:p>
            <w:pPr>
              <w:pStyle w:val="NoSpacing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000000"/>
                <w:sz w:val="22"/>
                <w:szCs w:val="22"/>
                <w:lang w:val="en-US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000000"/>
                <w:sz w:val="22"/>
                <w:szCs w:val="22"/>
                <w:lang w:val="en-US"/>
              </w:rPr>
            </w:r>
          </w:p>
          <w:p>
            <w:pPr>
              <w:pStyle w:val="NoSpacing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  <w:lang w:val="en-US"/>
              </w:rPr>
            </w:r>
          </w:p>
        </w:tc>
      </w:tr>
    </w:tbl>
    <w:p>
      <w:pPr>
        <w:pStyle w:val="NoSpacing"/>
        <w:rPr/>
      </w:pPr>
      <w:r>
        <w:br w:type="page"/>
      </w:r>
      <w:r>
        <w:rPr>
          <w:rFonts w:cs="Arial" w:ascii="Arial" w:hAnsi="Arial"/>
        </w:rPr>
        <w:t>II РАДОВИ НА ОДРЖАВАЊУ СИСТЕМА ЗА ОДВОДЊАВАЊЕ ПОВРШИНЕ КОЛОВОЗА И ТРУПА</w:t>
      </w:r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5000" w:type="pct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"/>
        <w:gridCol w:w="4006"/>
        <w:gridCol w:w="1389"/>
        <w:gridCol w:w="1669"/>
        <w:gridCol w:w="2330"/>
      </w:tblGrid>
      <w:tr>
        <w:trPr>
          <w:trHeight w:val="1665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Машински ископ одводних јаркова и корекција. Цена обухвата: ископ земље ровокопачем 80% са ручним дотеривањем 20%, пребацивање земље на банкину или утовар у возило и превоз на депонију. Обрачун по м³.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са одбацивањем земље на банкину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са превозом земље до 5км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320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2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Ручно чишћење наноса из цевастих и плочастих пропуста. Цена обухвата: одстрањивање свих наноса и отпадака из пропуста са утоваром у колица и одвозом до 20м. Обрачун по м³.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2655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3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Израда нових цевастих пропуста од армирано бетонских цеви на подлози од мршавог бетона дебљине д=15цм са улазно-излазном главом. Цена обухвата: набавку, транспорт и постављање цеви, израду подлоге и израду облоге улазне и излазне главе пропуста. У цену урачунати и облагање цеви каменим дробљеним агрегатом са набијањем до потребне збијености. Обрачун по м¹.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Ø400мм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Ø600мм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Ø800мм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Ø1000мм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650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4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Набавка, транспорт и полагање монтажних бетонских ригола димензија 40/40/12цм на подлози од бетона МБ 20. Цена обухвата: справљање, превоз и ручно уграђивање бетона у подлогу и набавку, транспорт и полагање монтажних ригола. Обрачун по м¹.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675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5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Рушење ивичњака ручно са одвозом шута. Обрачун по м¹.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12/18цм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20/24цм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18/24цм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24/24цм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995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6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Набавка, транспорт и полагање монтажних сивих ивичњака на подлогу од бетона МБ 20 дебљине 10цм са фуговањем цементним малтером 1:2. Цена обухвата: справљање, превоз и ручно уграђивање бетона у подлогу и набавку, транспорт и полагање ивичњака са фуговањем. Обрачун по м¹.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30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12/18цм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20/24цм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ивичњак 18/24цм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980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7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Облагање одводних јаркова монтажним бетонским каналетама на слоју песка д=10цм са фуговањем цементним малтером 1:2. Цена обухвата: набавку и транспорт каналета, набавку песка и цементног малтера 1:2 са транспортом као и полагање каналета на подлогу од песка са фуговањем. Обрачун по м¹.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630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8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Набавка, справљање, транспорт и уградња бетона, са израдом одговарајуће оплате, ради санације и изградње армирано бетонских крила, прагова и осталих конструктивних делова мостова и пропуста ради санације и изградње обложних и потпорних зидова, армирано бетонских шахти и канала за пријем атмосферских вода, а све у циљу заштите коловоза и трупа пута од обрушавања, клизања и расквашивања. Сав потребан материјал, опрему и радну снагу за справљање и уградњу бетона обезбеђује извођач. Обрачун по м³.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b/>
                <w:b/>
                <w:bCs/>
              </w:rPr>
            </w:pPr>
            <w:r>
              <w:rPr>
                <w:rFonts w:eastAsia="Times New Roman" w:cs="Arial" w:ascii="Arial Narrow" w:hAnsi="Arial Narrow"/>
                <w:b/>
                <w:bCs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МБ 20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42" w:hRule="atLeast"/>
        </w:trPr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МБ 30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м³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855" w:hRule="atLeast"/>
        </w:trPr>
        <w:tc>
          <w:tcPr>
            <w:tcW w:w="4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lang w:val="sr-RS"/>
              </w:rPr>
              <w:t>УКУПНО</w:t>
            </w:r>
          </w:p>
          <w:p>
            <w:pPr>
              <w:pStyle w:val="Normal"/>
              <w:spacing w:lineRule="auto" w:line="240"/>
              <w:rPr>
                <w:rFonts w:ascii="Arial Narrow" w:hAnsi="Arial Narrow" w:eastAsia="Times New Roman" w:cs="Arial"/>
                <w:b/>
                <w:b/>
                <w:bCs/>
                <w:sz w:val="21"/>
                <w:szCs w:val="21"/>
                <w:lang w:val="sr-RS"/>
              </w:rPr>
            </w:pPr>
            <w:r>
              <w:rPr>
                <w:rFonts w:eastAsia="Times New Roman" w:cs="Arial" w:ascii="Arial Narrow" w:hAnsi="Arial Narrow"/>
                <w:b/>
                <w:bCs/>
                <w:sz w:val="21"/>
                <w:szCs w:val="21"/>
                <w:lang w:val="sr-RS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eastAsia="Times New Roman" w:cs="Arial"/>
                <w:b/>
                <w:b/>
                <w:bCs/>
                <w:sz w:val="21"/>
                <w:szCs w:val="21"/>
              </w:rPr>
            </w:pPr>
            <w:r>
              <w:rPr>
                <w:rFonts w:eastAsia="Times New Roman" w:cs="Arial"/>
                <w:b/>
                <w:bCs/>
                <w:sz w:val="21"/>
                <w:szCs w:val="21"/>
              </w:rPr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</w:tr>
    </w:tbl>
    <w:p>
      <w:pPr>
        <w:pStyle w:val="Normal"/>
        <w:spacing w:lineRule="auto" w:line="240"/>
        <w:rPr/>
      </w:pPr>
      <w:r>
        <w:br w:type="page"/>
      </w:r>
      <w:r>
        <w:rPr>
          <w:rFonts w:eastAsia="Times New Roman" w:cs="Arial" w:ascii="Arial Narrow" w:hAnsi="Arial Narrow"/>
          <w:b/>
          <w:bCs/>
          <w:sz w:val="21"/>
          <w:szCs w:val="21"/>
        </w:rPr>
        <w:t>III РАДОВИ НА ОДРЖАВАЊУ АСФАЛТНИХ КОЛОВОЗА</w:t>
      </w:r>
    </w:p>
    <w:p>
      <w:pPr>
        <w:pStyle w:val="NoSpacing"/>
        <w:rPr>
          <w:rFonts w:ascii="Arial" w:hAnsi="Arial" w:eastAsia="Times New Roman" w:cs="Arial"/>
          <w:b/>
          <w:b/>
          <w:bCs/>
          <w:sz w:val="21"/>
          <w:szCs w:val="21"/>
        </w:rPr>
      </w:pPr>
      <w:r>
        <w:rPr>
          <w:rFonts w:eastAsia="Times New Roman" w:cs="Arial" w:ascii="Arial" w:hAnsi="Arial"/>
          <w:b/>
          <w:bCs/>
          <w:sz w:val="21"/>
          <w:szCs w:val="21"/>
        </w:rPr>
      </w:r>
    </w:p>
    <w:tbl>
      <w:tblPr>
        <w:tblW w:w="9669" w:type="dxa"/>
        <w:jc w:val="left"/>
        <w:tblInd w:w="-37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"/>
        <w:gridCol w:w="3974"/>
        <w:gridCol w:w="3"/>
        <w:gridCol w:w="1406"/>
        <w:gridCol w:w="2"/>
        <w:gridCol w:w="1663"/>
        <w:gridCol w:w="2"/>
        <w:gridCol w:w="1576"/>
        <w:gridCol w:w="251"/>
        <w:gridCol w:w="240"/>
        <w:gridCol w:w="270"/>
      </w:tblGrid>
      <w:tr>
        <w:trPr>
          <w:trHeight w:val="3630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Ручно заливање праволинијских и тестерастих пукотина на коловозу ширине од 3мм до 15мм и дубине преко 5цм врућом битуменском масом уз претходно попуњавање дробљеним кречњачким агрегатом 0-4мм. Цена обухвата: набавку битуменске масе, дробљеног агрегата, песка за посипање и плина за загревање битуменске масе, превоз материјала, компресора и радника, издувавање пукотина компримованим ваздухом, попуњавање дробљеним агрегатом, заливање битуменском масом, посипање сувим песком и регулисање саобраћаја. Обрачун по м¹.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960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Машинско заливање праволинијских и тестерастих пукотина на коловозу ширине преко 15мм и дубине преко 5цм врућом битуменском масом уз претходно попуњавање дробљеним кречњачким агрегатом 0-4мм. Цена обухвата: набавку битуменске масе, дробљеног агрегата, песка за посипање и плина за загревање битуменске масе, превоз материјала, компресора и радника, машине за фуговање, издувавање пукотина компримованим ваздухом, попуњавање дробљеним агрегатом, заливање пукотина машином за фуговање, посипање сувим песком и регулисање саобраћаја. Обрачун по м¹.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м¹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5610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Ручно крпљење ударних рупа и колотрага асфалтном масом АБ-11 просечне дебљине 6цм. Скидање испуцалог асфалта као припрему за крпљење ударних рупа и скидање издигнутог гребена колотрага извести глодалицом за асфалт. Рупе очистити метлом и издувати компресором. Пре уграђивања асфалтне масе извршити прскање емулзијом и премазивање опсечених ивица битуменском емулзијом у количини од 0,2-0,5кг/м². Ударну рупу попунити асфалтном масом, дати потребно надвишење и ваљати до потребне збијености тако да површина окрпљеног дела буде у равни постојеће коловозне површине. Цена обухвата: производњу асфалтне масе са набавком материјала, транспорт асфалтне масе, механизације и радника од асфалтне базе до места уграђивања, транспорт скинутог материјала и уграђивање асфалтне масе. Обрачун по тони (т).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т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975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Ручна уградња асфалтних слојева на тротоарима и површинама асфалтном масом AБ-11. Асфалтна маса полаже се на суву подлогу која пре почетка радова мора бити добро опрана, очишћена челичним четкама и издувана компресором. Пре уграђивања асфалтне масе извршити прскање емулзијом и премазивање опсечених ивица битуменском емулзијом. Уграђену асфалтну масу ваљати до потребне збијености. Цена обухвата: производњу асфалтне масе са набавком материјала, транспорт асфалтне масе, механизације и радника од асфалтне базе до места уграђивања и уграђивање асфалтне масе. Обрачун по тони (т).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т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6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5295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Пресвлачење деоница коловоза асфалтном масом АБ-11 просечне дебљине 5цм. Уградњу асфалтне масе извести финишером са равношћу ±6мм/4м и ваљањем до збијености 96% од лабораторијске збијености. Асфалтна маса полаже се на суву подлогу која пре почетка радова мора бити добро опрана, очишћена челичним четкама и издувана компресором. Пре уграђивања асфалтне масе извршити прскање емулзијом и премазивање опсечених ивица битуменском емулзијом. Цена обухвата: производњу асфалтне масе са набавком материјала, транспорт асфалтне масе, механизације и радника од асфалтне базе до места уграђивања, уграђивање финишером и ваљање гарнитуром ваљака. Пре пресвлачења обавезно се врши ручно крпљење коловоза и то се посебно наплаћује. Обрачун по тони (т).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т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5625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Израда изравнавајућег соја коловоза асфалтном масом АБ-11 просечне дебљине 3-5цм. Уградњу асфалтне масе извести финишером са равношћу ±6мм/4м и ваљањем до збијености 96% од лабораторијске збијености. Асфалтна маса полаже се на суву подлогу која пре почетка радова мора бити добро опрана, очишћена челичним четкама и издувана компресором. Пре уграђивања асфалтне масе извршити прскање емулзијом и премазивање опсечених ивица битуменском емулзијом. Цена обухвата: производњу асфалтне масе са набавком материјала, транспорт асфалтне масе, механизације и радника од асфалтне базе до места уграђивања, уграђивање финишером и ваљање гарнитуром ваљака. Пре пресвлачења обавезно се врши ручно крпљење коловоза и то се посебно наплаћује. Обрачун по тони (т).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т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5295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7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Пресвлачење деоница коловоза асфалтном масом БНС-22   дебљине 6-10цм. Уградњу асфалтне масе извести финишером са равношћу ±6мм/4м и ваљањем до збијености 96% од лабораторијске збијености. Асфалтна маса полаже се на суву подлогу која пре почетка радова мора бити добро опрана, очишћена челичним четкама и издувана компресором. Пре уграђивања асфалтне масе извршити прскање емулзијом и премазивање опсечених ивица битуменском емулзијом. Цена обухвата: производњу асфалтне масе са набавком материјала, транспорт асфалтне масе, механизације и радника од асфалтне базе до места уграђивања, уграђивање финишером и ваљање гарнитуром ваљака. Пре пресвлачења обавезно се врши ручно крпљење коловоза и то се посебно наплаћује. Обрачун по тони (т).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т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320" w:hRule="atLeast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8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Чишћење савремених коловоза од блата и нечистоће. Цена обухвата: рад радника на чишћењу блата, просечне дебљине 2цм, са утоваром у колица и одвозом на 20м. Обрачун по м².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095" w:hRule="atLeast"/>
        </w:trPr>
        <w:tc>
          <w:tcPr>
            <w:tcW w:w="4258" w:type="dxa"/>
            <w:gridSpan w:val="3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lang w:val="sr-RS"/>
              </w:rPr>
              <w:t>укупно</w:t>
            </w:r>
          </w:p>
          <w:p>
            <w:pPr>
              <w:pStyle w:val="Normal"/>
              <w:spacing w:lineRule="auto" w:line="240"/>
              <w:rPr>
                <w:rFonts w:ascii="Arial Narrow" w:hAnsi="Arial Narrow" w:eastAsia="Times New Roman" w:cs="Arial"/>
                <w:b/>
                <w:b/>
                <w:bCs/>
                <w:sz w:val="21"/>
                <w:szCs w:val="21"/>
                <w:lang w:val="sr-RS"/>
              </w:rPr>
            </w:pPr>
            <w:r>
              <w:rPr>
                <w:rFonts w:eastAsia="Times New Roman" w:cs="Arial" w:ascii="Arial Narrow" w:hAnsi="Arial Narrow"/>
                <w:b/>
                <w:bCs/>
                <w:sz w:val="21"/>
                <w:szCs w:val="21"/>
                <w:lang w:val="sr-RS"/>
              </w:rPr>
            </w:r>
          </w:p>
          <w:p>
            <w:pPr>
              <w:pStyle w:val="Normal"/>
              <w:spacing w:lineRule="auto" w:line="240"/>
              <w:rPr>
                <w:rFonts w:ascii="Arial Narrow" w:hAnsi="Arial Narrow" w:eastAsia="Times New Roman" w:cs="Arial"/>
                <w:b/>
                <w:b/>
                <w:bCs/>
                <w:sz w:val="21"/>
                <w:szCs w:val="21"/>
                <w:lang w:val="sr-RS"/>
              </w:rPr>
            </w:pPr>
            <w:r>
              <w:rPr>
                <w:rFonts w:eastAsia="Times New Roman" w:cs="Arial" w:ascii="Arial Narrow" w:hAnsi="Arial Narrow"/>
                <w:b/>
                <w:bCs/>
                <w:sz w:val="21"/>
                <w:szCs w:val="21"/>
                <w:lang w:val="sr-RS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eastAsia="Times New Roman" w:cs="Arial"/>
                <w:b/>
                <w:b/>
                <w:bCs/>
                <w:sz w:val="21"/>
                <w:szCs w:val="21"/>
                <w:lang w:val="sr-RS"/>
              </w:rPr>
            </w:pPr>
            <w:r>
              <w:rPr>
                <w:rFonts w:eastAsia="Times New Roman" w:cs="Arial"/>
                <w:b/>
                <w:bCs/>
                <w:sz w:val="21"/>
                <w:szCs w:val="21"/>
                <w:lang w:val="sr-RS"/>
              </w:rPr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  <w:tc>
          <w:tcPr>
            <w:tcW w:w="23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cs="Arial"/>
              </w:rPr>
            </w:pPr>
            <w:r>
              <w:rPr>
                <w:rFonts w:cs="Arial"/>
              </w:rPr>
            </w:r>
          </w:p>
        </w:tc>
      </w:tr>
    </w:tbl>
    <w:p>
      <w:pPr>
        <w:pStyle w:val="Normal"/>
        <w:spacing w:lineRule="auto" w:line="240"/>
        <w:rPr/>
      </w:pPr>
      <w:r>
        <w:br w:type="page"/>
      </w:r>
      <w:r>
        <w:rPr>
          <w:rFonts w:eastAsia="Times New Roman" w:cs="Arial" w:ascii="Arial Narrow" w:hAnsi="Arial Narrow"/>
          <w:b/>
          <w:bCs/>
          <w:sz w:val="21"/>
          <w:szCs w:val="21"/>
        </w:rPr>
        <w:t>IV РАДОВИ НА ОДРЖАВАЊУ ТУЦАНИЧКИХ КОЛОВОЗА</w:t>
      </w:r>
    </w:p>
    <w:p>
      <w:pPr>
        <w:pStyle w:val="NoSpacing"/>
        <w:rPr>
          <w:rFonts w:ascii="Arial" w:hAnsi="Arial" w:eastAsia="Times New Roman" w:cs="Arial"/>
          <w:b/>
          <w:b/>
          <w:bCs/>
          <w:sz w:val="21"/>
          <w:szCs w:val="21"/>
        </w:rPr>
      </w:pPr>
      <w:r>
        <w:rPr>
          <w:rFonts w:eastAsia="Times New Roman" w:cs="Arial" w:ascii="Arial" w:hAnsi="Arial"/>
          <w:b/>
          <w:bCs/>
          <w:sz w:val="21"/>
          <w:szCs w:val="21"/>
        </w:rPr>
      </w:r>
    </w:p>
    <w:tbl>
      <w:tblPr>
        <w:tblW w:w="4950" w:type="pct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"/>
        <w:gridCol w:w="3960"/>
        <w:gridCol w:w="1376"/>
        <w:gridCol w:w="1650"/>
        <w:gridCol w:w="2305"/>
      </w:tblGrid>
      <w:tr>
        <w:trPr>
          <w:trHeight w:val="1650" w:hRule="atLeast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i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  <w:i w:val="false"/>
                <w:iCs w:val="false"/>
              </w:rPr>
              <w:t>Обнова туцаничког застора. Цена обухвата: набавку и транспорт дробљеног каменог агрегата 0-31мм, риљање старог застора, разастирање и планирање дробљеног каменог агрегата грејдером и сабијање ваљком уз потребно квашење. Обрачун по м³.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i/>
              </w:rPr>
              <w:t>м³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</w:tr>
      <w:tr>
        <w:trPr>
          <w:trHeight w:val="300" w:hRule="atLeast"/>
        </w:trPr>
        <w:tc>
          <w:tcPr>
            <w:tcW w:w="2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3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  <w:i w:val="false"/>
                <w:i w:val="false"/>
                <w:iCs w:val="false"/>
              </w:rPr>
            </w:pPr>
            <w:r>
              <w:rPr>
                <w:rFonts w:eastAsia="Times New Roman" w:cs="Arial" w:ascii="Arial Narrow" w:hAnsi="Arial Narrow"/>
                <w:i w:val="false"/>
                <w:iCs w:val="false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2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</w:tr>
      <w:tr>
        <w:trPr>
          <w:trHeight w:val="1650" w:hRule="atLeast"/>
        </w:trPr>
        <w:tc>
          <w:tcPr>
            <w:tcW w:w="2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i/>
              </w:rPr>
              <w:t>2</w:t>
            </w:r>
          </w:p>
        </w:tc>
        <w:tc>
          <w:tcPr>
            <w:tcW w:w="3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  <w:i w:val="false"/>
                <w:iCs w:val="false"/>
              </w:rPr>
              <w:t>Израда туцаничког застора уграђивањем дробљеног каменог агрегата 0-31мм. Цена обухвата: набавку и транспорт материјала, машинско разастирање, планирање и ваљање материјала уз потребно квашење. Обрачун по м³.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i/>
              </w:rPr>
              <w:t>м³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2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</w:tr>
      <w:tr>
        <w:trPr>
          <w:trHeight w:val="300" w:hRule="atLeast"/>
        </w:trPr>
        <w:tc>
          <w:tcPr>
            <w:tcW w:w="2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3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  <w:i w:val="false"/>
                <w:i w:val="false"/>
                <w:iCs w:val="false"/>
              </w:rPr>
            </w:pPr>
            <w:r>
              <w:rPr>
                <w:rFonts w:eastAsia="Times New Roman" w:cs="Arial" w:ascii="Arial Narrow" w:hAnsi="Arial Narrow"/>
                <w:i w:val="false"/>
                <w:iCs w:val="false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2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</w:tr>
      <w:tr>
        <w:trPr>
          <w:trHeight w:val="1980" w:hRule="atLeast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i/>
              </w:rPr>
              <w:t>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  <w:i w:val="false"/>
                <w:iCs w:val="false"/>
              </w:rPr>
              <w:t>Ручно уграђивање дробљеног каменог агрегата 0-31мм на местима где није могуће машинско разастирање. Цена обухвата: набавку и транспорт материјала, ручно разастирање и планирање материјала и ваљање малим вибро ваљком уз потребно квашење. Обрачун по м³.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  <w:i/>
              </w:rPr>
              <w:t>м³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</w:tr>
      <w:tr>
        <w:trPr>
          <w:trHeight w:val="730" w:hRule="atLeast"/>
        </w:trPr>
        <w:tc>
          <w:tcPr>
            <w:tcW w:w="42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Arial Narrow" w:hAnsi="Arial Narrow" w:eastAsia="Times New Roman" w:cs="Arial"/>
                <w:i/>
                <w:i/>
              </w:rPr>
            </w:pPr>
            <w:r>
              <w:rPr>
                <w:rFonts w:eastAsia="Times New Roman" w:cs="Arial" w:ascii="Arial Narrow" w:hAnsi="Arial Narrow"/>
                <w:i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Arial" w:ascii="Arial narrow" w:hAnsi="Arial narrow"/>
                <w:i/>
                <w:lang w:val="sr-RS"/>
              </w:rPr>
              <w:t>Укупно</w:t>
            </w:r>
          </w:p>
          <w:p>
            <w:pPr>
              <w:pStyle w:val="NoSpacing"/>
              <w:rPr>
                <w:rFonts w:ascii="Arial" w:hAnsi="Arial" w:cs="Arial"/>
                <w:i/>
                <w:i/>
                <w:lang w:val="sr-RS"/>
              </w:rPr>
            </w:pPr>
            <w:r>
              <w:rPr>
                <w:rFonts w:cs="Arial" w:ascii="Arial" w:hAnsi="Arial"/>
                <w:i/>
                <w:lang w:val="sr-RS"/>
              </w:rPr>
            </w:r>
          </w:p>
          <w:p>
            <w:pPr>
              <w:pStyle w:val="NoSpacing"/>
              <w:rPr>
                <w:rFonts w:ascii="Arial" w:hAnsi="Arial" w:cs="Arial"/>
                <w:i/>
                <w:i/>
                <w:lang w:val="sr-RS"/>
              </w:rPr>
            </w:pPr>
            <w:r>
              <w:rPr>
                <w:rFonts w:cs="Arial" w:ascii="Arial" w:hAnsi="Arial"/>
                <w:i/>
                <w:lang w:val="sr-RS"/>
              </w:rPr>
            </w:r>
          </w:p>
          <w:p>
            <w:pPr>
              <w:pStyle w:val="NoSpacing"/>
              <w:rPr>
                <w:rFonts w:ascii="Arial" w:hAnsi="Arial" w:cs="Arial"/>
                <w:i/>
                <w:i/>
                <w:lang w:val="sr-RS"/>
              </w:rPr>
            </w:pPr>
            <w:r>
              <w:rPr>
                <w:rFonts w:cs="Arial" w:ascii="Arial" w:hAnsi="Arial"/>
                <w:i/>
                <w:lang w:val="sr-RS"/>
              </w:rPr>
            </w:r>
          </w:p>
          <w:p>
            <w:pPr>
              <w:pStyle w:val="NoSpacing"/>
              <w:rPr>
                <w:rFonts w:ascii="Arial" w:hAnsi="Arial" w:cs="Arial"/>
                <w:i/>
                <w:i/>
                <w:lang w:val="sr-RS"/>
              </w:rPr>
            </w:pPr>
            <w:r>
              <w:rPr>
                <w:rFonts w:cs="Arial" w:ascii="Arial" w:hAnsi="Arial"/>
                <w:i/>
                <w:lang w:val="sr-RS"/>
              </w:rPr>
            </w:r>
          </w:p>
          <w:p>
            <w:pPr>
              <w:pStyle w:val="Normal"/>
              <w:spacing w:lineRule="auto" w:line="240"/>
              <w:rPr>
                <w:rFonts w:ascii="Arial Narrow" w:hAnsi="Arial Narrow" w:eastAsia="Times New Roman" w:cs="Arial"/>
                <w:b/>
                <w:b/>
                <w:bCs/>
                <w:i/>
                <w:i/>
                <w:sz w:val="21"/>
                <w:szCs w:val="21"/>
                <w:lang w:val="sr-RS"/>
              </w:rPr>
            </w:pPr>
            <w:r>
              <w:rPr>
                <w:rFonts w:eastAsia="Times New Roman" w:cs="Arial" w:ascii="Arial Narrow" w:hAnsi="Arial Narrow"/>
                <w:b/>
                <w:bCs/>
                <w:i/>
                <w:sz w:val="21"/>
                <w:szCs w:val="21"/>
                <w:lang w:val="sr-RS"/>
              </w:rPr>
            </w:r>
          </w:p>
          <w:p>
            <w:pPr>
              <w:pStyle w:val="Normal"/>
              <w:spacing w:lineRule="auto" w:line="240"/>
              <w:rPr>
                <w:rFonts w:ascii="Arial Narrow" w:hAnsi="Arial Narrow" w:eastAsia="Times New Roman" w:cs="Arial"/>
                <w:b/>
                <w:b/>
                <w:bCs/>
                <w:i/>
                <w:i/>
                <w:sz w:val="21"/>
                <w:szCs w:val="21"/>
                <w:lang w:val="sr-RS"/>
              </w:rPr>
            </w:pPr>
            <w:r>
              <w:rPr>
                <w:rFonts w:eastAsia="Times New Roman" w:cs="Arial" w:ascii="Arial Narrow" w:hAnsi="Arial Narrow"/>
                <w:b/>
                <w:bCs/>
                <w:i/>
                <w:sz w:val="21"/>
                <w:szCs w:val="21"/>
                <w:lang w:val="sr-RS"/>
              </w:rPr>
            </w:r>
          </w:p>
          <w:p>
            <w:pPr>
              <w:pStyle w:val="Normal"/>
              <w:spacing w:lineRule="auto" w:line="240"/>
              <w:rPr>
                <w:rFonts w:ascii="Arial" w:hAnsi="Arial" w:eastAsia="Times New Roman" w:cs="Arial"/>
                <w:b/>
                <w:b/>
                <w:bCs/>
                <w:i/>
                <w:i/>
                <w:sz w:val="21"/>
                <w:szCs w:val="21"/>
                <w:lang w:val="sr-RS"/>
              </w:rPr>
            </w:pPr>
            <w:r>
              <w:rPr>
                <w:rFonts w:eastAsia="Times New Roman" w:cs="Arial"/>
                <w:b/>
                <w:bCs/>
                <w:i/>
                <w:sz w:val="21"/>
                <w:szCs w:val="21"/>
                <w:lang w:val="sr-RS"/>
              </w:rPr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  <w:p>
            <w:pPr>
              <w:pStyle w:val="Normal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  <w:p>
            <w:pPr>
              <w:pStyle w:val="Normal"/>
              <w:suppressAutoHyphens w:val="false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  <w:p>
            <w:pPr>
              <w:pStyle w:val="Normal"/>
              <w:spacing w:lineRule="auto" w:line="240"/>
              <w:rPr>
                <w:rFonts w:ascii="Arial" w:hAnsi="Arial" w:cs="Arial"/>
                <w:i/>
                <w:i/>
              </w:rPr>
            </w:pPr>
            <w:r>
              <w:rPr>
                <w:rFonts w:cs="Arial"/>
                <w:i/>
              </w:rPr>
            </w:r>
          </w:p>
        </w:tc>
      </w:tr>
    </w:tbl>
    <w:p>
      <w:pPr>
        <w:pStyle w:val="Normal"/>
        <w:spacing w:lineRule="auto" w:line="240"/>
        <w:rPr/>
      </w:pPr>
      <w:r>
        <w:br w:type="page"/>
      </w:r>
      <w:r>
        <w:rPr>
          <w:rFonts w:eastAsia="Times New Roman" w:cs="Arial" w:ascii="Arial Narrow" w:hAnsi="Arial Narrow"/>
          <w:b/>
          <w:bCs/>
          <w:sz w:val="21"/>
          <w:szCs w:val="21"/>
        </w:rPr>
        <w:t>V РАДОВИ НА ОДРЖАВАЊУ УЛИЦА</w:t>
      </w:r>
    </w:p>
    <w:p>
      <w:pPr>
        <w:pStyle w:val="NoSpacing"/>
        <w:rPr>
          <w:rFonts w:ascii="Arial" w:hAnsi="Arial" w:eastAsia="Times New Roman" w:cs="Arial"/>
          <w:b/>
          <w:b/>
          <w:bCs/>
          <w:sz w:val="21"/>
          <w:szCs w:val="21"/>
        </w:rPr>
      </w:pPr>
      <w:r>
        <w:rPr>
          <w:rFonts w:eastAsia="Times New Roman" w:cs="Arial" w:ascii="Arial" w:hAnsi="Arial"/>
          <w:b/>
          <w:bCs/>
          <w:sz w:val="21"/>
          <w:szCs w:val="21"/>
        </w:rPr>
      </w:r>
    </w:p>
    <w:tbl>
      <w:tblPr>
        <w:tblW w:w="5000" w:type="pct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"/>
        <w:gridCol w:w="243"/>
        <w:gridCol w:w="1441"/>
        <w:gridCol w:w="1928"/>
        <w:gridCol w:w="323"/>
        <w:gridCol w:w="1193"/>
        <w:gridCol w:w="169"/>
        <w:gridCol w:w="239"/>
        <w:gridCol w:w="685"/>
        <w:gridCol w:w="716"/>
        <w:gridCol w:w="841"/>
        <w:gridCol w:w="1620"/>
      </w:tblGrid>
      <w:tr>
        <w:trPr>
          <w:trHeight w:val="5295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Израда платформи (попречних хоризонталних коловозних успоривача) у комбинацији асфалта и гуме. Гумени елементи обухватају нагазне елементе платформе x5, централне елементе х5 и крајнице. Асфалтну масу АБ-11 средишњег дела платформе нанети на суву подлогу која пре почетка радова мора бити добро опрана, очишћена челичним четкама и издувана компресором. Пре уграђивања асфалтне масе извршити прскање емулзијом. Уграђену асфалтну масу ваљати до потребне збијености. Цена обухвата: набавку, транспорт и уградњу гумених елемената, производњу асфалтне масе са набавком материјала, транспорт асфалтне масе, механизације и радника од асфалтне базе до места уграђивања, уграђивање асфалтне масе и ваљање. Обрачун по комаду.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ком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2655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2</w:t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Израда платформи (попречних хоризонталних коловозних успоривача) од асфалтне масе АБ-11. Платформу извести опсецањем ивица и израдом прстена ширине 20цм сa вађењем асфалта, утоваром и одвозом на депонију, израдом надслоја 10-12цм, димензија 9/6м (платформа 6/6м). Обележавање платформе бојом није предмет ових радова. Обрачун по комаду.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ком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99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3</w:t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Уклањање постојећих попречних хоризонталних коловозних успоривача изграђених од асфалта. Обрачун по м².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99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4</w:t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Рушење тротоара пикамером до тампонског слоја коловозне конструкције, променљиве дебљине до 15цм , са одвозом шута на депонију. Обрачун по м².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63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5</w:t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Висинско регулисање постојећих шахт поклопаца и сливних решетки за фекалну и кишну канализацију у циљу изједначавања нивелете улица, коте шахта и решетки. Цена обухвата: демонтажу постојећег шахт поклопца са прстеном и сливне решетке са рамом без оштећења, правилно опсецање асфалтне или бетонске подлоге са утоваром шута и одвозом на депонију, бетонирање армираним бетоном МБ 20 до висине од 5цм у односу на асфалтну подлогу и уградња асфалтне масе истог квалитета као и постојећа. Обрачун по комаду.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ком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264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6</w:t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Набавка, транспорт и уградња канализационих шахт поклопаца и сливних решетки са рамом. Цена обухвата: демонтажу постојећег шахт поклопца и сливне решетке са рамом, правилно опсецање асфалтне или бетонске подлоге са утоваром шута и одвозом на депонију, набавку, транспорт и уградњу шахт поклопца и сливне решетке са бетонирањем армираним бетоном МБ 20 рама. Обрачун по комаду.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3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шахт поклопац Ø58цм носивости до 400KN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ком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3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сливна решетка дим. 40/50цм носивости до 400KN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ком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65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7</w:t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Демонтажа постојећих „бехатон” плоча са транспортом на локацију по налогу инвеститора. Исте очистити и класирати за поновну уградњу. Цена обухвата: демонтажу, чишћење и класирање „бехатон” плоча са транспортом. Обрачун по м².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30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198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8</w:t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Полагање „бехатон” плоча на подлогу од дробљеног каменог агрегата са фуговањем кварцним песком. Цена обухвата: ручно уклањање постојећег вишка насутог дробљеног каменог агрегата са припремом подлоге и полагање „бехатон” плоча са фуговањем, равнањем и набијањем вибро плочом. Обрачун по м².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2970" w:hRule="atLeast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9</w:t>
            </w:r>
          </w:p>
        </w:tc>
        <w:tc>
          <w:tcPr>
            <w:tcW w:w="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 w:ascii="Arial Narrow" w:hAnsi="Arial Narrow"/>
              </w:rPr>
              <w:t>Набавка, транспорт и полагање „бехатон” плоча на подлогу од дробљеног каменог агрегата 0-31мм дебљине 4-6цм са фуговањем кварцним песком. „Бехатон” плоче морају бити облика, боје и у тону по налогу инвеститора. Цена обухвата: набавку, транспорт и разастирање материјала за припрему подлоге, набавку, транспорт и полагање „бехатон” плоча са фуговањем, равнањем и набијањем вибро плочом. Обрачун по м².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м²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  <w:color w:val="C00000"/>
              </w:rPr>
            </w:pPr>
            <w:r>
              <w:rPr>
                <w:rFonts w:eastAsia="Times New Roman" w:cs="Arial" w:ascii="Arial Narrow" w:hAnsi="Arial Narrow"/>
                <w:color w:val="C00000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</w:tr>
      <w:tr>
        <w:trPr>
          <w:trHeight w:val="540" w:hRule="atLeast"/>
        </w:trPr>
        <w:tc>
          <w:tcPr>
            <w:tcW w:w="4175" w:type="dxa"/>
            <w:gridSpan w:val="5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lang w:val="sr-RS"/>
              </w:rPr>
              <w:t>Укупно</w:t>
            </w:r>
          </w:p>
          <w:p>
            <w:pPr>
              <w:pStyle w:val="NoSpacing"/>
              <w:rPr>
                <w:rFonts w:ascii="Arial" w:hAnsi="Arial" w:cs="Arial"/>
                <w:lang w:val="sr-RS"/>
              </w:rPr>
            </w:pPr>
            <w:r>
              <w:rPr>
                <w:rFonts w:cs="Arial" w:ascii="Arial" w:hAnsi="Arial"/>
                <w:lang w:val="sr-RS"/>
              </w:rPr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color w:val="000000"/>
                <w:sz w:val="22"/>
                <w:szCs w:val="22"/>
                <w:lang w:val="sr-RS"/>
              </w:rPr>
            </w:pPr>
            <w:r>
              <w:rPr>
                <w:rFonts w:cs="Arial"/>
                <w:color w:val="000000"/>
                <w:sz w:val="22"/>
                <w:szCs w:val="22"/>
                <w:lang w:val="sr-RS"/>
              </w:rPr>
            </w:r>
          </w:p>
          <w:p>
            <w:pPr>
              <w:pStyle w:val="NoSpacing"/>
              <w:rPr>
                <w:rFonts w:ascii="Arial" w:hAnsi="Arial" w:cs="Arial"/>
                <w:color w:val="000000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  <w:lang w:val="sr-RS"/>
              </w:rPr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napToGrid w:val="false"/>
              <w:rPr>
                <w:rFonts w:ascii="Arial" w:hAnsi="Arial" w:cs="Arial"/>
                <w:lang w:val="sr-RS"/>
              </w:rPr>
            </w:pPr>
            <w:r>
              <w:rPr>
                <w:rFonts w:cs="Arial" w:ascii="Arial" w:hAnsi="Arial"/>
                <w:lang w:val="sr-RS"/>
              </w:rPr>
            </w:r>
          </w:p>
          <w:p>
            <w:pPr>
              <w:pStyle w:val="NoSpacing"/>
              <w:rPr>
                <w:rFonts w:ascii="Arial" w:hAnsi="Arial" w:cs="Arial"/>
                <w:lang w:val="sr-RS"/>
              </w:rPr>
            </w:pPr>
            <w:r>
              <w:rPr>
                <w:rFonts w:cs="Arial" w:ascii="Arial" w:hAnsi="Arial"/>
                <w:lang w:val="sr-RS"/>
              </w:rPr>
            </w:r>
          </w:p>
        </w:tc>
      </w:tr>
      <w:tr>
        <w:trPr>
          <w:trHeight w:val="342" w:hRule="atLeast"/>
        </w:trPr>
        <w:tc>
          <w:tcPr>
            <w:tcW w:w="483" w:type="dxa"/>
            <w:gridSpan w:val="2"/>
            <w:tcBorders/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eastAsia="Times New Roman"/>
              </w:rPr>
            </w:pPr>
            <w:r>
              <w:rPr>
                <w:rFonts w:eastAsia="Times New Roman"/>
              </w:rPr>
            </w:r>
          </w:p>
        </w:tc>
        <w:tc>
          <w:tcPr>
            <w:tcW w:w="4885" w:type="dxa"/>
            <w:gridSpan w:val="4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>
                <w:rFonts w:eastAsia="Times New Roman" w:cs="Arial"/>
                <w:b/>
                <w:bCs/>
                <w:sz w:val="22"/>
                <w:szCs w:val="22"/>
              </w:rPr>
              <w:t>VI РАД МАШИНА</w:t>
            </w:r>
          </w:p>
        </w:tc>
        <w:tc>
          <w:tcPr>
            <w:tcW w:w="1093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Arial" w:hAnsi="Arial" w:eastAsia="Times New Roman" w:cs="Arial"/>
                <w:b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</w:rPr>
            </w:r>
          </w:p>
        </w:tc>
        <w:tc>
          <w:tcPr>
            <w:tcW w:w="1557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Arial" w:hAnsi="Arial" w:eastAsia="Times New Roman" w:cs="Arial"/>
                <w:b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</w:rPr>
            </w:r>
          </w:p>
        </w:tc>
        <w:tc>
          <w:tcPr>
            <w:tcW w:w="1620" w:type="dxa"/>
            <w:tcBorders/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483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</w:r>
          </w:p>
        </w:tc>
        <w:tc>
          <w:tcPr>
            <w:tcW w:w="4885" w:type="dxa"/>
            <w:gridSpan w:val="4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W w:w="1093" w:type="dxa"/>
            <w:gridSpan w:val="3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</w:p>
        </w:tc>
      </w:tr>
      <w:tr>
        <w:trPr>
          <w:trHeight w:val="345" w:hRule="atLeast"/>
        </w:trPr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 w:ascii="Arial Narrow" w:hAnsi="Arial Narrow"/>
              </w:rPr>
              <w:t>1</w:t>
            </w:r>
          </w:p>
        </w:tc>
        <w:tc>
          <w:tcPr>
            <w:tcW w:w="4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Рад машина. Обрачун по радном сату (рс).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" w:hAnsi="Arial"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</w:r>
          </w:p>
        </w:tc>
        <w:tc>
          <w:tcPr>
            <w:tcW w:w="4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„</w:t>
            </w:r>
            <w:r>
              <w:rPr>
                <w:rFonts w:eastAsia="Times New Roman" w:cs="Arial"/>
                <w:sz w:val="22"/>
                <w:szCs w:val="22"/>
              </w:rPr>
              <w:t>wirtgen” 2.000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„</w:t>
            </w:r>
            <w:r>
              <w:rPr>
                <w:rFonts w:eastAsia="Times New Roman" w:cs="Arial"/>
                <w:sz w:val="22"/>
                <w:szCs w:val="22"/>
              </w:rPr>
              <w:t>wirtgen” 1.000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булдозер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цистерна за воду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вибро ваљак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утоваривач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комбинована машина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грејдер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багер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42" w:hRule="atLeast"/>
        </w:trPr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камион носивости до 20т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15" w:hRule="atLeast"/>
        </w:trPr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eastAsia="Times New Roman" w:cs="Arial"/>
                <w:sz w:val="22"/>
                <w:szCs w:val="22"/>
              </w:rPr>
              <w:t>камион носивости до 25т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Arial"/>
                <w:sz w:val="22"/>
                <w:szCs w:val="22"/>
              </w:rPr>
              <w:t>рс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315" w:hRule="atLeast"/>
        </w:trPr>
        <w:tc>
          <w:tcPr>
            <w:tcW w:w="4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Arial Narrow" w:hAnsi="Arial Narrow" w:eastAsia="Times New Roman" w:cs="Arial"/>
              </w:rPr>
            </w:pPr>
            <w:r>
              <w:rPr>
                <w:rFonts w:eastAsia="Times New Roman" w:cs="Arial" w:ascii="Arial Narrow" w:hAnsi="Arial Narrow"/>
              </w:rPr>
            </w:r>
          </w:p>
        </w:tc>
        <w:tc>
          <w:tcPr>
            <w:tcW w:w="4885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lang w:val="sr-RS"/>
              </w:rPr>
            </w:pPr>
            <w:r>
              <w:rPr>
                <w:rFonts w:eastAsia="Times New Roman" w:cs="Arial"/>
                <w:sz w:val="22"/>
                <w:szCs w:val="22"/>
                <w:lang w:val="sr-RS"/>
              </w:rPr>
              <w:t>Компресор са пикамером полутеретно возило</w:t>
            </w:r>
          </w:p>
        </w:tc>
        <w:tc>
          <w:tcPr>
            <w:tcW w:w="10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center"/>
              <w:rPr>
                <w:lang w:val="sr-RS"/>
              </w:rPr>
            </w:pPr>
            <w:r>
              <w:rPr>
                <w:rFonts w:eastAsia="Times New Roman" w:cs="Arial"/>
                <w:sz w:val="22"/>
                <w:szCs w:val="22"/>
                <w:lang w:val="sr-RS"/>
              </w:rPr>
              <w:t>рс</w:t>
            </w:r>
          </w:p>
        </w:tc>
        <w:tc>
          <w:tcPr>
            <w:tcW w:w="15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/>
              <w:jc w:val="right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  <w:tr>
        <w:trPr>
          <w:trHeight w:val="405" w:hRule="atLeast"/>
        </w:trPr>
        <w:tc>
          <w:tcPr>
            <w:tcW w:w="1924" w:type="dxa"/>
            <w:gridSpan w:val="3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  <w:t>Укупно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/>
                <w:sz w:val="22"/>
                <w:szCs w:val="22"/>
                <w:lang w:val="sr-RS"/>
              </w:rPr>
            </w:r>
          </w:p>
        </w:tc>
        <w:tc>
          <w:tcPr>
            <w:tcW w:w="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  <w:tc>
          <w:tcPr>
            <w:tcW w:w="38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napToGrid w:val="false"/>
              <w:spacing w:lineRule="auto" w:lin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rPr/>
      </w:pPr>
      <w:r>
        <w:rPr>
          <w:rFonts w:eastAsia="Times New Roman" w:cs="Arial"/>
          <w:b/>
          <w:bCs/>
          <w:sz w:val="21"/>
          <w:szCs w:val="21"/>
          <w:lang w:val="sr-RS"/>
        </w:rPr>
        <w:t xml:space="preserve">НАПОМЕНА:  Предвиђена средстава за ову врсту радова износе </w:t>
      </w:r>
      <w:r>
        <w:rPr>
          <w:rFonts w:eastAsia="Times New Roman" w:cs="Arial"/>
          <w:b/>
          <w:bCs/>
          <w:sz w:val="21"/>
          <w:szCs w:val="21"/>
          <w:lang w:val="sr-Latn-RS"/>
        </w:rPr>
        <w:t>50</w:t>
      </w:r>
      <w:r>
        <w:rPr>
          <w:rFonts w:eastAsia="Times New Roman" w:cs="Arial"/>
          <w:b/>
          <w:bCs/>
          <w:sz w:val="21"/>
          <w:szCs w:val="21"/>
          <w:lang w:val="sr-RS"/>
        </w:rPr>
        <w:t>.000.000,00 динара без ПДВ-а.</w:t>
      </w:r>
    </w:p>
    <w:sectPr>
      <w:footerReference w:type="default" r:id="rId2"/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1"/>
    <w:family w:val="swiss"/>
    <w:pitch w:val="default"/>
  </w:font>
  <w:font w:name="Segoe UI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Times New Roman">
    <w:charset w:val="01"/>
    <w:family w:val="swiss"/>
    <w:pitch w:val="default"/>
  </w:font>
  <w:font w:name="Calibri">
    <w:charset w:val="01"/>
    <w:family w:val="swiss"/>
    <w:pitch w:val="default"/>
  </w:font>
  <w:font w:name="Arial Narrow">
    <w:charset w:val="01"/>
    <w:family w:val="swiss"/>
    <w:pitch w:val="default"/>
  </w:font>
  <w:font w:name="Arial narrow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090742958"/>
    </w:sdtPr>
    <w:sdtContent>
      <w:p>
        <w:pPr>
          <w:pStyle w:val="Footer"/>
          <w:jc w:val="right"/>
          <w:rPr/>
        </w:pPr>
        <w:r>
          <w:rPr>
            <w:lang w:val="sr-RS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9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sr-RS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e0e7e"/>
    <w:pPr>
      <w:widowControl/>
      <w:bidi w:val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29" w:customStyle="1">
    <w:name w:val="ListLabel 29"/>
    <w:qFormat/>
    <w:rsid w:val="00de0e7e"/>
    <w:rPr>
      <w:rFonts w:cs="Courier New"/>
    </w:rPr>
  </w:style>
  <w:style w:type="character" w:styleId="ListLabel28" w:customStyle="1">
    <w:name w:val="ListLabel 28"/>
    <w:qFormat/>
    <w:rsid w:val="00de0e7e"/>
    <w:rPr>
      <w:rFonts w:cs="Courier New"/>
    </w:rPr>
  </w:style>
  <w:style w:type="character" w:styleId="ListLabel27" w:customStyle="1">
    <w:name w:val="ListLabel 27"/>
    <w:qFormat/>
    <w:rsid w:val="00de0e7e"/>
    <w:rPr>
      <w:rFonts w:cs="Courier New"/>
    </w:rPr>
  </w:style>
  <w:style w:type="character" w:styleId="ListLabel26" w:customStyle="1">
    <w:name w:val="ListLabel 26"/>
    <w:qFormat/>
    <w:rsid w:val="00de0e7e"/>
    <w:rPr>
      <w:rFonts w:eastAsia="SimSun" w:cs="Arial"/>
    </w:rPr>
  </w:style>
  <w:style w:type="character" w:styleId="ListLabel25" w:customStyle="1">
    <w:name w:val="ListLabel 25"/>
    <w:qFormat/>
    <w:rsid w:val="00de0e7e"/>
    <w:rPr>
      <w:rFonts w:cs="Courier New"/>
    </w:rPr>
  </w:style>
  <w:style w:type="character" w:styleId="ListLabel24" w:customStyle="1">
    <w:name w:val="ListLabel 24"/>
    <w:qFormat/>
    <w:rsid w:val="00de0e7e"/>
    <w:rPr>
      <w:rFonts w:cs="Courier New"/>
    </w:rPr>
  </w:style>
  <w:style w:type="character" w:styleId="ListLabel23" w:customStyle="1">
    <w:name w:val="ListLabel 23"/>
    <w:qFormat/>
    <w:rsid w:val="00de0e7e"/>
    <w:rPr>
      <w:rFonts w:cs="Courier New"/>
    </w:rPr>
  </w:style>
  <w:style w:type="character" w:styleId="ListLabel22" w:customStyle="1">
    <w:name w:val="ListLabel 22"/>
    <w:qFormat/>
    <w:rsid w:val="00de0e7e"/>
    <w:rPr>
      <w:rFonts w:ascii="Arial" w:hAnsi="Arial" w:eastAsia="Calibri" w:cs="Arial"/>
      <w:sz w:val="24"/>
    </w:rPr>
  </w:style>
  <w:style w:type="character" w:styleId="ListLabel21" w:customStyle="1">
    <w:name w:val="ListLabel 21"/>
    <w:qFormat/>
    <w:rsid w:val="00de0e7e"/>
    <w:rPr>
      <w:rFonts w:cs="Courier New"/>
    </w:rPr>
  </w:style>
  <w:style w:type="character" w:styleId="ListLabel20" w:customStyle="1">
    <w:name w:val="ListLabel 20"/>
    <w:qFormat/>
    <w:rsid w:val="00de0e7e"/>
    <w:rPr>
      <w:rFonts w:cs="Courier New"/>
    </w:rPr>
  </w:style>
  <w:style w:type="character" w:styleId="ListLabel19" w:customStyle="1">
    <w:name w:val="ListLabel 19"/>
    <w:qFormat/>
    <w:rsid w:val="00de0e7e"/>
    <w:rPr>
      <w:rFonts w:cs="Courier New"/>
    </w:rPr>
  </w:style>
  <w:style w:type="character" w:styleId="ListLabel18" w:customStyle="1">
    <w:name w:val="ListLabel 18"/>
    <w:qFormat/>
    <w:rsid w:val="00de0e7e"/>
    <w:rPr>
      <w:rFonts w:cs="Courier New"/>
    </w:rPr>
  </w:style>
  <w:style w:type="character" w:styleId="ListLabel17" w:customStyle="1">
    <w:name w:val="ListLabel 17"/>
    <w:qFormat/>
    <w:rsid w:val="00de0e7e"/>
    <w:rPr>
      <w:rFonts w:cs="Courier New"/>
    </w:rPr>
  </w:style>
  <w:style w:type="character" w:styleId="ListLabel16" w:customStyle="1">
    <w:name w:val="ListLabel 16"/>
    <w:qFormat/>
    <w:rsid w:val="00de0e7e"/>
    <w:rPr>
      <w:rFonts w:cs="Courier New"/>
    </w:rPr>
  </w:style>
  <w:style w:type="character" w:styleId="ListLabel15" w:customStyle="1">
    <w:name w:val="ListLabel 15"/>
    <w:qFormat/>
    <w:rsid w:val="00de0e7e"/>
    <w:rPr>
      <w:rFonts w:cs="Courier New"/>
    </w:rPr>
  </w:style>
  <w:style w:type="character" w:styleId="ListLabel14" w:customStyle="1">
    <w:name w:val="ListLabel 14"/>
    <w:qFormat/>
    <w:rsid w:val="00de0e7e"/>
    <w:rPr>
      <w:rFonts w:cs="Courier New"/>
    </w:rPr>
  </w:style>
  <w:style w:type="character" w:styleId="ListLabel13" w:customStyle="1">
    <w:name w:val="ListLabel 13"/>
    <w:qFormat/>
    <w:rsid w:val="00de0e7e"/>
    <w:rPr>
      <w:rFonts w:cs="Courier New"/>
    </w:rPr>
  </w:style>
  <w:style w:type="character" w:styleId="ListLabel12" w:customStyle="1">
    <w:name w:val="ListLabel 12"/>
    <w:qFormat/>
    <w:rsid w:val="00de0e7e"/>
    <w:rPr>
      <w:rFonts w:eastAsia="Calibri" w:cs="Arial"/>
    </w:rPr>
  </w:style>
  <w:style w:type="character" w:styleId="ListLabel11" w:customStyle="1">
    <w:name w:val="ListLabel 11"/>
    <w:qFormat/>
    <w:rsid w:val="00de0e7e"/>
    <w:rPr>
      <w:rFonts w:cs="Courier New"/>
    </w:rPr>
  </w:style>
  <w:style w:type="character" w:styleId="ListLabel10" w:customStyle="1">
    <w:name w:val="ListLabel 10"/>
    <w:qFormat/>
    <w:rsid w:val="00de0e7e"/>
    <w:rPr>
      <w:rFonts w:cs="Courier New"/>
    </w:rPr>
  </w:style>
  <w:style w:type="character" w:styleId="ListLabel9" w:customStyle="1">
    <w:name w:val="ListLabel 9"/>
    <w:qFormat/>
    <w:rsid w:val="00de0e7e"/>
    <w:rPr>
      <w:rFonts w:cs="Courier New"/>
    </w:rPr>
  </w:style>
  <w:style w:type="character" w:styleId="ListLabel8" w:customStyle="1">
    <w:name w:val="ListLabel 8"/>
    <w:qFormat/>
    <w:rsid w:val="00de0e7e"/>
    <w:rPr>
      <w:rFonts w:eastAsia="Calibri" w:cs="Arial"/>
    </w:rPr>
  </w:style>
  <w:style w:type="character" w:styleId="ListLabel7" w:customStyle="1">
    <w:name w:val="ListLabel 7"/>
    <w:qFormat/>
    <w:rsid w:val="00de0e7e"/>
    <w:rPr>
      <w:rFonts w:cs="Courier New"/>
    </w:rPr>
  </w:style>
  <w:style w:type="character" w:styleId="ListLabel6" w:customStyle="1">
    <w:name w:val="ListLabel 6"/>
    <w:qFormat/>
    <w:rsid w:val="00de0e7e"/>
    <w:rPr>
      <w:rFonts w:cs="Courier New"/>
    </w:rPr>
  </w:style>
  <w:style w:type="character" w:styleId="ListLabel5" w:customStyle="1">
    <w:name w:val="ListLabel 5"/>
    <w:qFormat/>
    <w:rsid w:val="00de0e7e"/>
    <w:rPr>
      <w:rFonts w:cs="Courier New"/>
    </w:rPr>
  </w:style>
  <w:style w:type="character" w:styleId="ListLabel4" w:customStyle="1">
    <w:name w:val="ListLabel 4"/>
    <w:qFormat/>
    <w:rsid w:val="00de0e7e"/>
    <w:rPr>
      <w:rFonts w:eastAsia="Calibri" w:cs="Arial"/>
    </w:rPr>
  </w:style>
  <w:style w:type="character" w:styleId="ListLabel3" w:customStyle="1">
    <w:name w:val="ListLabel 3"/>
    <w:qFormat/>
    <w:rsid w:val="00de0e7e"/>
    <w:rPr>
      <w:rFonts w:cs="Courier New"/>
    </w:rPr>
  </w:style>
  <w:style w:type="character" w:styleId="ListLabel2" w:customStyle="1">
    <w:name w:val="ListLabel 2"/>
    <w:qFormat/>
    <w:rsid w:val="00de0e7e"/>
    <w:rPr>
      <w:rFonts w:cs="Courier New"/>
    </w:rPr>
  </w:style>
  <w:style w:type="character" w:styleId="ListLabel1" w:customStyle="1">
    <w:name w:val="ListLabel 1"/>
    <w:qFormat/>
    <w:rsid w:val="00de0e7e"/>
    <w:rPr>
      <w:rFonts w:cs="Courier New"/>
    </w:rPr>
  </w:style>
  <w:style w:type="character" w:styleId="BalloonTextChar" w:customStyle="1">
    <w:name w:val="Balloon Text Char"/>
    <w:basedOn w:val="DefaultParagraphFont"/>
    <w:qFormat/>
    <w:rsid w:val="00de0e7e"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qFormat/>
    <w:rsid w:val="00de0e7e"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qFormat/>
    <w:rsid w:val="00de0e7e"/>
    <w:rPr>
      <w:sz w:val="20"/>
      <w:szCs w:val="20"/>
    </w:rPr>
  </w:style>
  <w:style w:type="character" w:styleId="Annotationreference">
    <w:name w:val="annotation reference"/>
    <w:basedOn w:val="DefaultParagraphFont"/>
    <w:qFormat/>
    <w:rsid w:val="00de0e7e"/>
    <w:rPr>
      <w:sz w:val="16"/>
      <w:szCs w:val="16"/>
    </w:rPr>
  </w:style>
  <w:style w:type="character" w:styleId="Tlidtranslation" w:customStyle="1">
    <w:name w:val="tlid-translation"/>
    <w:basedOn w:val="DefaultParagraphFont"/>
    <w:qFormat/>
    <w:rsid w:val="00de0e7e"/>
    <w:rPr/>
  </w:style>
  <w:style w:type="character" w:styleId="ListLabel30" w:customStyle="1">
    <w:name w:val="ListLabel 30"/>
    <w:qFormat/>
    <w:rsid w:val="00de0e7e"/>
    <w:rPr>
      <w:rFonts w:cs="Arial"/>
      <w:sz w:val="24"/>
    </w:rPr>
  </w:style>
  <w:style w:type="character" w:styleId="ListLabel31" w:customStyle="1">
    <w:name w:val="ListLabel 31"/>
    <w:qFormat/>
    <w:rsid w:val="00de0e7e"/>
    <w:rPr>
      <w:rFonts w:cs="Courier New"/>
    </w:rPr>
  </w:style>
  <w:style w:type="character" w:styleId="ListLabel32" w:customStyle="1">
    <w:name w:val="ListLabel 32"/>
    <w:qFormat/>
    <w:rsid w:val="00de0e7e"/>
    <w:rPr>
      <w:rFonts w:cs="Wingdings"/>
    </w:rPr>
  </w:style>
  <w:style w:type="character" w:styleId="ListLabel33" w:customStyle="1">
    <w:name w:val="ListLabel 33"/>
    <w:qFormat/>
    <w:rsid w:val="00de0e7e"/>
    <w:rPr>
      <w:rFonts w:cs="Symbol"/>
    </w:rPr>
  </w:style>
  <w:style w:type="character" w:styleId="ListLabel34" w:customStyle="1">
    <w:name w:val="ListLabel 34"/>
    <w:qFormat/>
    <w:rsid w:val="00de0e7e"/>
    <w:rPr>
      <w:rFonts w:cs="Courier New"/>
    </w:rPr>
  </w:style>
  <w:style w:type="character" w:styleId="ListLabel35" w:customStyle="1">
    <w:name w:val="ListLabel 35"/>
    <w:qFormat/>
    <w:rsid w:val="00de0e7e"/>
    <w:rPr>
      <w:rFonts w:cs="Wingdings"/>
    </w:rPr>
  </w:style>
  <w:style w:type="character" w:styleId="ListLabel36" w:customStyle="1">
    <w:name w:val="ListLabel 36"/>
    <w:qFormat/>
    <w:rsid w:val="00de0e7e"/>
    <w:rPr>
      <w:rFonts w:cs="Symbol"/>
    </w:rPr>
  </w:style>
  <w:style w:type="character" w:styleId="ListLabel37" w:customStyle="1">
    <w:name w:val="ListLabel 37"/>
    <w:qFormat/>
    <w:rsid w:val="00de0e7e"/>
    <w:rPr>
      <w:rFonts w:cs="Courier New"/>
    </w:rPr>
  </w:style>
  <w:style w:type="character" w:styleId="ListLabel38" w:customStyle="1">
    <w:name w:val="ListLabel 38"/>
    <w:qFormat/>
    <w:rsid w:val="00de0e7e"/>
    <w:rPr>
      <w:rFonts w:cs="Wingdings"/>
    </w:rPr>
  </w:style>
  <w:style w:type="character" w:styleId="ListLabel39" w:customStyle="1">
    <w:name w:val="ListLabel 39"/>
    <w:qFormat/>
    <w:rsid w:val="00de0e7e"/>
    <w:rPr>
      <w:rFonts w:cs="Arial"/>
      <w:sz w:val="24"/>
    </w:rPr>
  </w:style>
  <w:style w:type="character" w:styleId="ListLabel40" w:customStyle="1">
    <w:name w:val="ListLabel 40"/>
    <w:qFormat/>
    <w:rsid w:val="00de0e7e"/>
    <w:rPr>
      <w:rFonts w:cs="Courier New"/>
    </w:rPr>
  </w:style>
  <w:style w:type="character" w:styleId="ListLabel41" w:customStyle="1">
    <w:name w:val="ListLabel 41"/>
    <w:qFormat/>
    <w:rsid w:val="00de0e7e"/>
    <w:rPr>
      <w:rFonts w:cs="Wingdings"/>
    </w:rPr>
  </w:style>
  <w:style w:type="character" w:styleId="ListLabel42" w:customStyle="1">
    <w:name w:val="ListLabel 42"/>
    <w:qFormat/>
    <w:rsid w:val="00de0e7e"/>
    <w:rPr>
      <w:rFonts w:cs="Symbol"/>
    </w:rPr>
  </w:style>
  <w:style w:type="character" w:styleId="ListLabel43" w:customStyle="1">
    <w:name w:val="ListLabel 43"/>
    <w:qFormat/>
    <w:rsid w:val="00de0e7e"/>
    <w:rPr>
      <w:rFonts w:cs="Courier New"/>
    </w:rPr>
  </w:style>
  <w:style w:type="character" w:styleId="ListLabel44" w:customStyle="1">
    <w:name w:val="ListLabel 44"/>
    <w:qFormat/>
    <w:rsid w:val="00de0e7e"/>
    <w:rPr>
      <w:rFonts w:cs="Wingdings"/>
    </w:rPr>
  </w:style>
  <w:style w:type="character" w:styleId="ListLabel45" w:customStyle="1">
    <w:name w:val="ListLabel 45"/>
    <w:qFormat/>
    <w:rsid w:val="00de0e7e"/>
    <w:rPr>
      <w:rFonts w:cs="Symbol"/>
    </w:rPr>
  </w:style>
  <w:style w:type="character" w:styleId="ListLabel46" w:customStyle="1">
    <w:name w:val="ListLabel 46"/>
    <w:qFormat/>
    <w:rsid w:val="00de0e7e"/>
    <w:rPr>
      <w:rFonts w:cs="Courier New"/>
    </w:rPr>
  </w:style>
  <w:style w:type="character" w:styleId="ListLabel47" w:customStyle="1">
    <w:name w:val="ListLabel 47"/>
    <w:qFormat/>
    <w:rsid w:val="00de0e7e"/>
    <w:rPr>
      <w:rFonts w:cs="Wingdings"/>
    </w:rPr>
  </w:style>
  <w:style w:type="character" w:styleId="Bullets" w:customStyle="1">
    <w:name w:val="Bullets"/>
    <w:qFormat/>
    <w:rsid w:val="00de0e7e"/>
    <w:rPr>
      <w:rFonts w:ascii="OpenSymbol" w:hAnsi="OpenSymbol" w:eastAsia="OpenSymbol" w:cs="OpenSymbol"/>
    </w:rPr>
  </w:style>
  <w:style w:type="character" w:styleId="ListLabel48" w:customStyle="1">
    <w:name w:val="ListLabel 48"/>
    <w:qFormat/>
    <w:rPr>
      <w:rFonts w:cs="OpenSymbol"/>
      <w:sz w:val="22"/>
    </w:rPr>
  </w:style>
  <w:style w:type="character" w:styleId="ListLabel49" w:customStyle="1">
    <w:name w:val="ListLabel 49"/>
    <w:qFormat/>
    <w:rPr>
      <w:rFonts w:cs="OpenSymbol"/>
    </w:rPr>
  </w:style>
  <w:style w:type="character" w:styleId="ListLabel50" w:customStyle="1">
    <w:name w:val="ListLabel 50"/>
    <w:qFormat/>
    <w:rPr>
      <w:rFonts w:cs="OpenSymbol"/>
    </w:rPr>
  </w:style>
  <w:style w:type="character" w:styleId="ListLabel51" w:customStyle="1">
    <w:name w:val="ListLabel 51"/>
    <w:qFormat/>
    <w:rPr>
      <w:rFonts w:cs="OpenSymbol"/>
    </w:rPr>
  </w:style>
  <w:style w:type="character" w:styleId="ListLabel52" w:customStyle="1">
    <w:name w:val="ListLabel 52"/>
    <w:qFormat/>
    <w:rPr>
      <w:rFonts w:cs="OpenSymbol"/>
    </w:rPr>
  </w:style>
  <w:style w:type="character" w:styleId="ListLabel53" w:customStyle="1">
    <w:name w:val="ListLabel 53"/>
    <w:qFormat/>
    <w:rPr>
      <w:rFonts w:cs="OpenSymbol"/>
    </w:rPr>
  </w:style>
  <w:style w:type="character" w:styleId="ListLabel54" w:customStyle="1">
    <w:name w:val="ListLabel 54"/>
    <w:qFormat/>
    <w:rPr>
      <w:rFonts w:cs="OpenSymbol"/>
    </w:rPr>
  </w:style>
  <w:style w:type="character" w:styleId="ListLabel55" w:customStyle="1">
    <w:name w:val="ListLabel 55"/>
    <w:qFormat/>
    <w:rPr>
      <w:rFonts w:cs="OpenSymbol"/>
    </w:rPr>
  </w:style>
  <w:style w:type="character" w:styleId="ListLabel56" w:customStyle="1">
    <w:name w:val="ListLabel 56"/>
    <w:qFormat/>
    <w:rPr>
      <w:rFonts w:cs="OpenSymbol"/>
    </w:rPr>
  </w:style>
  <w:style w:type="character" w:styleId="ListLabel57" w:customStyle="1">
    <w:name w:val="ListLabel 57"/>
    <w:qFormat/>
    <w:rPr>
      <w:rFonts w:eastAsia="Times New Roman" w:cs="Times New Roman"/>
      <w:spacing w:val="-10"/>
      <w:w w:val="99"/>
      <w:sz w:val="24"/>
      <w:szCs w:val="24"/>
      <w:lang w:eastAsia="en-US" w:bidi="ar-SA"/>
    </w:rPr>
  </w:style>
  <w:style w:type="character" w:styleId="ListLabel58" w:customStyle="1">
    <w:name w:val="ListLabel 58"/>
    <w:qFormat/>
    <w:rPr>
      <w:lang w:eastAsia="en-US" w:bidi="ar-SA"/>
    </w:rPr>
  </w:style>
  <w:style w:type="character" w:styleId="ListLabel59" w:customStyle="1">
    <w:name w:val="ListLabel 59"/>
    <w:qFormat/>
    <w:rPr>
      <w:lang w:eastAsia="en-US" w:bidi="ar-SA"/>
    </w:rPr>
  </w:style>
  <w:style w:type="character" w:styleId="ListLabel60" w:customStyle="1">
    <w:name w:val="ListLabel 60"/>
    <w:qFormat/>
    <w:rPr>
      <w:lang w:eastAsia="en-US" w:bidi="ar-SA"/>
    </w:rPr>
  </w:style>
  <w:style w:type="character" w:styleId="ListLabel61" w:customStyle="1">
    <w:name w:val="ListLabel 61"/>
    <w:qFormat/>
    <w:rPr>
      <w:lang w:eastAsia="en-US" w:bidi="ar-SA"/>
    </w:rPr>
  </w:style>
  <w:style w:type="character" w:styleId="ListLabel62" w:customStyle="1">
    <w:name w:val="ListLabel 62"/>
    <w:qFormat/>
    <w:rPr>
      <w:lang w:eastAsia="en-US" w:bidi="ar-SA"/>
    </w:rPr>
  </w:style>
  <w:style w:type="character" w:styleId="ListLabel63" w:customStyle="1">
    <w:name w:val="ListLabel 63"/>
    <w:qFormat/>
    <w:rPr>
      <w:lang w:eastAsia="en-US" w:bidi="ar-SA"/>
    </w:rPr>
  </w:style>
  <w:style w:type="character" w:styleId="ListLabel64" w:customStyle="1">
    <w:name w:val="ListLabel 64"/>
    <w:qFormat/>
    <w:rPr>
      <w:lang w:eastAsia="en-US" w:bidi="ar-SA"/>
    </w:rPr>
  </w:style>
  <w:style w:type="character" w:styleId="ListLabel65" w:customStyle="1">
    <w:name w:val="ListLabel 65"/>
    <w:qFormat/>
    <w:rPr>
      <w:lang w:eastAsia="en-US" w:bidi="ar-SA"/>
    </w:rPr>
  </w:style>
  <w:style w:type="character" w:styleId="ListLabel66" w:customStyle="1">
    <w:name w:val="ListLabel 66"/>
    <w:qFormat/>
    <w:rPr>
      <w:rFonts w:cs="OpenSymbol"/>
      <w:sz w:val="22"/>
    </w:rPr>
  </w:style>
  <w:style w:type="character" w:styleId="ListLabel67" w:customStyle="1">
    <w:name w:val="ListLabel 67"/>
    <w:qFormat/>
    <w:rPr>
      <w:rFonts w:cs="OpenSymbol"/>
    </w:rPr>
  </w:style>
  <w:style w:type="character" w:styleId="ListLabel68" w:customStyle="1">
    <w:name w:val="ListLabel 68"/>
    <w:qFormat/>
    <w:rPr>
      <w:rFonts w:cs="OpenSymbol"/>
    </w:rPr>
  </w:style>
  <w:style w:type="character" w:styleId="ListLabel69" w:customStyle="1">
    <w:name w:val="ListLabel 69"/>
    <w:qFormat/>
    <w:rPr>
      <w:rFonts w:cs="OpenSymbol"/>
    </w:rPr>
  </w:style>
  <w:style w:type="character" w:styleId="ListLabel70" w:customStyle="1">
    <w:name w:val="ListLabel 70"/>
    <w:qFormat/>
    <w:rPr>
      <w:rFonts w:cs="OpenSymbol"/>
    </w:rPr>
  </w:style>
  <w:style w:type="character" w:styleId="ListLabel71" w:customStyle="1">
    <w:name w:val="ListLabel 71"/>
    <w:qFormat/>
    <w:rPr>
      <w:rFonts w:cs="OpenSymbol"/>
    </w:rPr>
  </w:style>
  <w:style w:type="character" w:styleId="ListLabel72" w:customStyle="1">
    <w:name w:val="ListLabel 72"/>
    <w:qFormat/>
    <w:rPr>
      <w:rFonts w:cs="OpenSymbol"/>
    </w:rPr>
  </w:style>
  <w:style w:type="character" w:styleId="ListLabel73" w:customStyle="1">
    <w:name w:val="ListLabel 73"/>
    <w:qFormat/>
    <w:rPr>
      <w:rFonts w:cs="OpenSymbol"/>
    </w:rPr>
  </w:style>
  <w:style w:type="character" w:styleId="ListLabel74" w:customStyle="1">
    <w:name w:val="ListLabel 74"/>
    <w:qFormat/>
    <w:rPr>
      <w:rFonts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482722"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482722"/>
    <w:rPr>
      <w:sz w:val="24"/>
      <w:szCs w:val="21"/>
    </w:rPr>
  </w:style>
  <w:style w:type="character" w:styleId="ListLabel75">
    <w:name w:val="ListLabel 75"/>
    <w:qFormat/>
    <w:rPr>
      <w:rFonts w:cs="OpenSymbol"/>
      <w:sz w:val="22"/>
    </w:rPr>
  </w:style>
  <w:style w:type="character" w:styleId="ListLabel76">
    <w:name w:val="ListLabel 76"/>
    <w:qFormat/>
    <w:rPr>
      <w:rFonts w:cs="OpenSymbol"/>
      <w:sz w:val="22"/>
    </w:rPr>
  </w:style>
  <w:style w:type="character" w:styleId="ListLabel77">
    <w:name w:val="ListLabel 77"/>
    <w:qFormat/>
    <w:rPr>
      <w:rFonts w:cs="OpenSymbol"/>
    </w:rPr>
  </w:style>
  <w:style w:type="character" w:styleId="ListLabel78">
    <w:name w:val="ListLabel 78"/>
    <w:qFormat/>
    <w:rPr>
      <w:rFonts w:cs="OpenSymbol"/>
    </w:rPr>
  </w:style>
  <w:style w:type="character" w:styleId="ListLabel79">
    <w:name w:val="ListLabel 79"/>
    <w:qFormat/>
    <w:rPr>
      <w:rFonts w:cs="OpenSymbol"/>
    </w:rPr>
  </w:style>
  <w:style w:type="character" w:styleId="ListLabel80">
    <w:name w:val="ListLabel 80"/>
    <w:qFormat/>
    <w:rPr>
      <w:rFonts w:cs="OpenSymbol"/>
    </w:rPr>
  </w:style>
  <w:style w:type="character" w:styleId="ListLabel81">
    <w:name w:val="ListLabel 81"/>
    <w:qFormat/>
    <w:rPr>
      <w:rFonts w:cs="OpenSymbol"/>
    </w:rPr>
  </w:style>
  <w:style w:type="character" w:styleId="ListLabel82">
    <w:name w:val="ListLabel 82"/>
    <w:qFormat/>
    <w:rPr>
      <w:rFonts w:cs="OpenSymbol"/>
    </w:rPr>
  </w:style>
  <w:style w:type="character" w:styleId="ListLabel83">
    <w:name w:val="ListLabel 83"/>
    <w:qFormat/>
    <w:rPr>
      <w:rFonts w:cs="OpenSymbol"/>
    </w:rPr>
  </w:style>
  <w:style w:type="character" w:styleId="ListLabel84">
    <w:name w:val="ListLabel 84"/>
    <w:qFormat/>
    <w:rPr>
      <w:rFonts w:cs="Arial"/>
      <w:sz w:val="22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Arial"/>
    </w:rPr>
  </w:style>
  <w:style w:type="character" w:styleId="ListLabel89">
    <w:name w:val="ListLabel 89"/>
    <w:qFormat/>
    <w:rPr>
      <w:rFonts w:cs="Arial"/>
    </w:rPr>
  </w:style>
  <w:style w:type="character" w:styleId="ListLabel90">
    <w:name w:val="ListLabel 90"/>
    <w:qFormat/>
    <w:rPr>
      <w:rFonts w:cs="Arial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OpenSymbol"/>
      <w:sz w:val="22"/>
    </w:rPr>
  </w:style>
  <w:style w:type="character" w:styleId="ListLabel95">
    <w:name w:val="ListLabel 95"/>
    <w:qFormat/>
    <w:rPr>
      <w:rFonts w:cs="OpenSymbol"/>
      <w:sz w:val="22"/>
    </w:rPr>
  </w:style>
  <w:style w:type="character" w:styleId="ListLabel96">
    <w:name w:val="ListLabel 96"/>
    <w:qFormat/>
    <w:rPr>
      <w:rFonts w:cs="OpenSymbol"/>
    </w:rPr>
  </w:style>
  <w:style w:type="character" w:styleId="ListLabel97">
    <w:name w:val="ListLabel 97"/>
    <w:qFormat/>
    <w:rPr>
      <w:rFonts w:cs="OpenSymbol"/>
    </w:rPr>
  </w:style>
  <w:style w:type="character" w:styleId="ListLabel98">
    <w:name w:val="ListLabel 98"/>
    <w:qFormat/>
    <w:rPr>
      <w:rFonts w:cs="OpenSymbol"/>
    </w:rPr>
  </w:style>
  <w:style w:type="character" w:styleId="ListLabel99">
    <w:name w:val="ListLabel 99"/>
    <w:qFormat/>
    <w:rPr>
      <w:rFonts w:cs="OpenSymbol"/>
    </w:rPr>
  </w:style>
  <w:style w:type="character" w:styleId="ListLabel100">
    <w:name w:val="ListLabel 100"/>
    <w:qFormat/>
    <w:rPr>
      <w:rFonts w:cs="OpenSymbol"/>
    </w:rPr>
  </w:style>
  <w:style w:type="character" w:styleId="ListLabel101">
    <w:name w:val="ListLabel 101"/>
    <w:qFormat/>
    <w:rPr>
      <w:rFonts w:cs="OpenSymbol"/>
    </w:rPr>
  </w:style>
  <w:style w:type="character" w:styleId="ListLabel102">
    <w:name w:val="ListLabel 102"/>
    <w:qFormat/>
    <w:rPr>
      <w:rFonts w:cs="OpenSymbol"/>
    </w:rPr>
  </w:style>
  <w:style w:type="character" w:styleId="ListLabel103">
    <w:name w:val="ListLabel 103"/>
    <w:qFormat/>
    <w:rPr>
      <w:rFonts w:cs="Arial"/>
      <w:sz w:val="22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OpenSymbol"/>
      <w:sz w:val="22"/>
    </w:rPr>
  </w:style>
  <w:style w:type="character" w:styleId="ListLabel113">
    <w:name w:val="ListLabel 113"/>
    <w:qFormat/>
    <w:rPr>
      <w:rFonts w:cs="OpenSymbol"/>
      <w:sz w:val="22"/>
    </w:rPr>
  </w:style>
  <w:style w:type="character" w:styleId="ListLabel114">
    <w:name w:val="ListLabel 114"/>
    <w:qFormat/>
    <w:rPr>
      <w:rFonts w:cs="OpenSymbol"/>
    </w:rPr>
  </w:style>
  <w:style w:type="character" w:styleId="ListLabel115">
    <w:name w:val="ListLabel 115"/>
    <w:qFormat/>
    <w:rPr>
      <w:rFonts w:cs="OpenSymbol"/>
    </w:rPr>
  </w:style>
  <w:style w:type="character" w:styleId="ListLabel116">
    <w:name w:val="ListLabel 116"/>
    <w:qFormat/>
    <w:rPr>
      <w:rFonts w:cs="OpenSymbol"/>
    </w:rPr>
  </w:style>
  <w:style w:type="character" w:styleId="ListLabel117">
    <w:name w:val="ListLabel 117"/>
    <w:qFormat/>
    <w:rPr>
      <w:rFonts w:cs="OpenSymbol"/>
    </w:rPr>
  </w:style>
  <w:style w:type="character" w:styleId="ListLabel118">
    <w:name w:val="ListLabel 118"/>
    <w:qFormat/>
    <w:rPr>
      <w:rFonts w:cs="OpenSymbol"/>
    </w:rPr>
  </w:style>
  <w:style w:type="character" w:styleId="ListLabel119">
    <w:name w:val="ListLabel 119"/>
    <w:qFormat/>
    <w:rPr>
      <w:rFonts w:cs="OpenSymbol"/>
    </w:rPr>
  </w:style>
  <w:style w:type="character" w:styleId="ListLabel120">
    <w:name w:val="ListLabel 120"/>
    <w:qFormat/>
    <w:rPr>
      <w:rFonts w:cs="OpenSymbol"/>
    </w:rPr>
  </w:style>
  <w:style w:type="character" w:styleId="ListLabel121">
    <w:name w:val="ListLabel 121"/>
    <w:qFormat/>
    <w:rPr>
      <w:rFonts w:cs="Arial"/>
      <w:sz w:val="22"/>
    </w:rPr>
  </w:style>
  <w:style w:type="character" w:styleId="ListLabel122">
    <w:name w:val="ListLabel 122"/>
    <w:qFormat/>
    <w:rPr>
      <w:rFonts w:cs="Courier New"/>
    </w:rPr>
  </w:style>
  <w:style w:type="character" w:styleId="ListLabel123">
    <w:name w:val="ListLabel 123"/>
    <w:qFormat/>
    <w:rPr>
      <w:rFonts w:cs="Wingdings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Courier New"/>
    </w:rPr>
  </w:style>
  <w:style w:type="character" w:styleId="ListLabel126">
    <w:name w:val="ListLabel 126"/>
    <w:qFormat/>
    <w:rPr>
      <w:rFonts w:cs="Wingdings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Wingdings"/>
    </w:rPr>
  </w:style>
  <w:style w:type="paragraph" w:styleId="Heading" w:customStyle="1">
    <w:name w:val="Heading"/>
    <w:basedOn w:val="Normal"/>
    <w:next w:val="TextBody"/>
    <w:qFormat/>
    <w:rsid w:val="00de0e7e"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rsid w:val="00de0e7e"/>
    <w:pPr>
      <w:spacing w:lineRule="auto" w:line="276" w:before="0" w:after="140"/>
    </w:pPr>
    <w:rPr/>
  </w:style>
  <w:style w:type="paragraph" w:styleId="List">
    <w:name w:val="List"/>
    <w:basedOn w:val="TextBody"/>
    <w:rsid w:val="00de0e7e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 w:customStyle="1">
    <w:name w:val="Index"/>
    <w:basedOn w:val="Normal"/>
    <w:qFormat/>
    <w:rsid w:val="00de0e7e"/>
    <w:pPr>
      <w:suppressLineNumbers/>
    </w:pPr>
    <w:rPr/>
  </w:style>
  <w:style w:type="paragraph" w:styleId="Caption1">
    <w:name w:val="caption"/>
    <w:basedOn w:val="Normal"/>
    <w:qFormat/>
    <w:rsid w:val="00de0e7e"/>
    <w:pPr>
      <w:suppressLineNumbers/>
      <w:spacing w:before="120" w:after="120"/>
    </w:pPr>
    <w:rPr>
      <w:i/>
      <w:iCs/>
    </w:rPr>
  </w:style>
  <w:style w:type="paragraph" w:styleId="BalloonText">
    <w:name w:val="Balloon Text"/>
    <w:basedOn w:val="Normal"/>
    <w:qFormat/>
    <w:rsid w:val="00de0e7e"/>
    <w:pPr/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Annotationtext"/>
    <w:next w:val="Annotationtext"/>
    <w:qFormat/>
    <w:rsid w:val="00de0e7e"/>
    <w:pPr/>
    <w:rPr>
      <w:b/>
      <w:bCs/>
    </w:rPr>
  </w:style>
  <w:style w:type="paragraph" w:styleId="Annotationtext">
    <w:name w:val="annotation text"/>
    <w:basedOn w:val="Normal"/>
    <w:qFormat/>
    <w:rsid w:val="00de0e7e"/>
    <w:pPr/>
    <w:rPr>
      <w:sz w:val="20"/>
      <w:szCs w:val="20"/>
    </w:rPr>
  </w:style>
  <w:style w:type="paragraph" w:styleId="Default" w:customStyle="1">
    <w:name w:val="Default"/>
    <w:qFormat/>
    <w:rsid w:val="00de0e7e"/>
    <w:pPr>
      <w:widowControl/>
      <w:suppressAutoHyphens w:val="true"/>
      <w:bidi w:val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rsid w:val="00de0e7e"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qFormat/>
    <w:rsid w:val="00de0e7e"/>
    <w:pPr>
      <w:suppressLineNumbers/>
    </w:pPr>
    <w:rPr/>
  </w:style>
  <w:style w:type="paragraph" w:styleId="TableHeading" w:customStyle="1">
    <w:name w:val="Table Heading"/>
    <w:basedOn w:val="TableContents"/>
    <w:qFormat/>
    <w:rsid w:val="00de0e7e"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rsid w:val="00d119bc"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482722"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482722"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NoSpacing">
    <w:name w:val="No Spacing"/>
    <w:qFormat/>
    <w:pPr>
      <w:widowControl/>
      <w:suppressAutoHyphens w:val="true"/>
      <w:bidi w:val="0"/>
      <w:spacing w:lineRule="atLeast" w:line="10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Application>LibreOffice/6.2.8.2$Windows_X86_64 LibreOffice_project/f82ddfca21ebc1e222a662a32b25c0c9d20169ee</Application>
  <Pages>11</Pages>
  <Words>2216</Words>
  <Characters>12265</Characters>
  <CharactersWithSpaces>14171</CharactersWithSpaces>
  <Paragraphs>203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/>
  <dc:description/>
  <dc:language>en-US</dc:language>
  <cp:lastModifiedBy/>
  <dcterms:modified xsi:type="dcterms:W3CDTF">2022-02-23T08:36:35Z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